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11315"/>
          <w:sz w:val="32"/>
        </w:rPr>
        <w:t>CLIENT INSTRUCTION QUESTIONNAIRE — BUSINESS PURCHASE OR SALE</w:t>
      </w:r>
    </w:p>
    <w:p>
      <w:pPr>
        <w:jc w:val="center"/>
      </w:pPr>
      <w:r>
        <w:rPr>
          <w:rFonts w:ascii="Georgia" w:hAnsi="Georgia"/>
          <w:i/>
          <w:color w:val="C9A548"/>
          <w:sz w:val="20"/>
        </w:rPr>
        <w:t>NSW business and share/unit transactions</w:t>
      </w:r>
    </w:p>
    <w:p>
      <w:pPr>
        <w:pStyle w:val="IntroHeading"/>
      </w:pPr>
      <w:r>
        <w:t>ABOUT THIS QUESTIONNAIRE</w:t>
      </w:r>
    </w:p>
    <w:p>
      <w:pPr>
        <w:pStyle w:val="IntroBody"/>
      </w:pPr>
      <w:r>
        <w:t>A business transaction can be structured as a sale of business assets, shares or units, and the legal and commercial consequences can differ materially. The contract needs to deal with what is being transferred, price and adjustments, employees, premises, equipment, intellectual property, customer and supplier contracts, licences, liabilities, restraints, warranties, due diligence and the steps required for completion.</w:t>
      </w:r>
    </w:p>
    <w:p>
      <w:pPr>
        <w:pStyle w:val="IntroBody"/>
      </w:pPr>
      <w:r>
        <w:t>This questionnaire establishes the commercial facts before we review or prepare transaction documents and identifies issues that may need input from your accountant, tax adviser, lender or landlord. If the transaction structure has not been decided, provide the available information rather than guessing. Early advice is useful before a heads of agreement becomes binding or a deposit is paid because the initial commercial terms can materially affect the final legal position.</w:t>
      </w:r>
    </w:p>
    <w:p>
      <w:pPr>
        <w:pStyle w:val="IntroHeading"/>
      </w:pPr>
      <w:r>
        <w:t>WHAT TO HAVE READY</w:t>
      </w:r>
    </w:p>
    <w:p>
      <w:pPr>
        <w:pStyle w:val="IntroBullet"/>
      </w:pPr>
      <w:r>
        <w:t>•  Any heads of agreement, term sheet, offer, draft contract or correspondence setting out the deal.</w:t>
      </w:r>
    </w:p>
    <w:p>
      <w:pPr>
        <w:pStyle w:val="IntroBullet"/>
      </w:pPr>
      <w:r>
        <w:t>•  Business name, entity details, ABN/ACN and ownership structure.</w:t>
      </w:r>
    </w:p>
    <w:p>
      <w:pPr>
        <w:pStyle w:val="IntroBullet"/>
      </w:pPr>
      <w:r>
        <w:t>•  Proposed price, deposit, stock treatment, adjustments and target completion date.</w:t>
      </w:r>
    </w:p>
    <w:p>
      <w:pPr>
        <w:pStyle w:val="IntroBullet"/>
      </w:pPr>
      <w:r>
        <w:t>•  Lease or property details for each business premises.</w:t>
      </w:r>
    </w:p>
    <w:p>
      <w:pPr>
        <w:pStyle w:val="IntroBullet"/>
      </w:pPr>
      <w:r>
        <w:t>•  A list of key assets, equipment, intellectual property, websites/domains and material contracts.</w:t>
      </w:r>
    </w:p>
    <w:p>
      <w:pPr>
        <w:pStyle w:val="IntroBullet"/>
      </w:pPr>
      <w:r>
        <w:t>•  Employee details and any proposed treatment of accrued entitlements or key personnel.</w:t>
      </w:r>
    </w:p>
    <w:p>
      <w:pPr>
        <w:pStyle w:val="IntroBullet"/>
      </w:pPr>
      <w:r>
        <w:t>•  Finance, security, licence, regulatory or third-party consent requirements.</w:t>
      </w:r>
    </w:p>
    <w:p>
      <w:pPr>
        <w:pStyle w:val="IntroBullet"/>
      </w:pPr>
      <w:r>
        <w:t>•  Contact details for your key advisers where relevant.</w:t>
      </w:r>
    </w:p>
    <w:p>
      <w:pPr>
        <w:spacing w:after="200"/>
        <w:pBdr>
          <w:bottom w:val="single" w:sz="18" w:color="C9A548"/>
        </w:pBdr>
      </w:pPr>
      <w:r>
        <w:rPr>
          <w:sz w:val="4"/>
        </w:rPr>
      </w:r>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IMPORTANT</w:t>
              <w:br/>
            </w:r>
            <w:r>
              <w:rPr>
                <w:rFonts w:ascii="Arial" w:hAnsi="Arial"/>
                <w:color w:val="24272A"/>
                <w:sz w:val="18"/>
              </w:rPr>
              <w:t>Use this form to give us the commercial facts before we review or prepare transaction documents. Do not provide passwords, card details or banking credentials. Attach the draft contract, heads of agreement, broker material and lease if available.</w:t>
            </w:r>
          </w:p>
        </w:tc>
      </w:tr>
    </w:tbl>
    <w:p/>
    <w:p>
      <w:pPr>
        <w:pStyle w:val="SectionHeading"/>
        <w:keepNext/>
      </w:pPr>
      <w:r>
        <w:t>1. Matter and client details</w:t>
      </w:r>
    </w:p>
    <w:p>
      <w:pPr>
        <w:pStyle w:val="Question"/>
      </w:pPr>
      <w:r>
        <w:rPr>
          <w:b/>
        </w:rPr>
        <w:t>Are you buying or selling?</w:t>
      </w:r>
    </w:p>
    <w:p>
      <w:pPr>
        <w:pStyle w:val="Response"/>
      </w:pPr>
      <w:r>
        <w:t>Select or delete as appropriate: Buying / Selling</w:t>
      </w:r>
    </w:p>
    <w:p>
      <w:pPr>
        <w:pStyle w:val="Question"/>
      </w:pPr>
      <w:r>
        <w:rPr>
          <w:b/>
        </w:rPr>
        <w:t>Proposed transaction form</w:t>
      </w:r>
    </w:p>
    <w:p>
      <w:pPr>
        <w:pStyle w:val="Response"/>
      </w:pPr>
      <w:r>
        <w:t>Select or delete as appropriate: Business asset sale / Share sale / Unit sale / Unsure</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Client / entity name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ABN / ACN (if applicable)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Contact person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Phone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Email</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party / entity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Other party solicitor / representative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Target completion date / deadline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bl>
    <w:p/>
    <w:p>
      <w:pPr>
        <w:pStyle w:val="SectionHeading"/>
        <w:keepNext/>
      </w:pPr>
      <w:r>
        <w:t>2. Business and transaction</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Business name and description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Trading address(es)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Purchase / sale price</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Deposit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GST treatment (if known)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Stock amount / valuation method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Price allocation between goodwill, plant/equipment, stock and other assets (if agreed)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3. Premises</w:t>
      </w:r>
    </w:p>
    <w:p>
      <w:pPr>
        <w:pStyle w:val="Question"/>
      </w:pPr>
      <w:r>
        <w:rPr>
          <w:b/>
        </w:rPr>
        <w:t>Business premises</w:t>
      </w:r>
    </w:p>
    <w:p>
      <w:pPr>
        <w:pStyle w:val="Response"/>
      </w:pPr>
      <w:r>
        <w:t>Select or delete as appropriate: Owned / Leased / Multiple premises / Home / online only</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Property / lease address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Landlord / owner details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Lease expiry and options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Rent and major outgoings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t>Click or type here</w:t>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Assignment / new lease requirements or consent status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Any notices, approvals, zoning or use issues known to you</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bl>
    <w:p/>
    <w:p>
      <w:pPr>
        <w:pStyle w:val="SectionHeading"/>
        <w:keepNext/>
      </w:pPr>
      <w:r>
        <w:t>4. Assets, IP, systems and contracts</w:t>
      </w:r>
    </w:p>
    <w:p>
      <w:pPr>
        <w:pStyle w:val="Subheading"/>
      </w:pPr>
      <w:r>
        <w:t>Key assets to transfer</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Asset / category</w:t>
            </w:r>
          </w:p>
        </w:tc>
        <w:tc>
          <w:tcPr>
            <w:tcW w:type="dxa" w:w="2592"/>
            <w:shd w:fill="111315"/>
            <w:tcMar>
              <w:top w:w="80" w:type="dxa"/>
              <w:start w:w="80" w:type="dxa"/>
              <w:bottom w:w="80" w:type="dxa"/>
              <w:end w:w="80" w:type="dxa"/>
            </w:tcMar>
          </w:tcPr>
          <w:p>
            <w:r>
              <w:rPr>
                <w:rFonts w:ascii="Arial" w:hAnsi="Arial"/>
                <w:b/>
                <w:color w:val="FFFFFF"/>
                <w:sz w:val="16"/>
              </w:rPr>
              <w:t>Included or excluded</w:t>
            </w:r>
          </w:p>
        </w:tc>
        <w:tc>
          <w:tcPr>
            <w:tcW w:type="dxa" w:w="2592"/>
            <w:shd w:fill="111315"/>
            <w:tcMar>
              <w:top w:w="80" w:type="dxa"/>
              <w:start w:w="80" w:type="dxa"/>
              <w:bottom w:w="80" w:type="dxa"/>
              <w:end w:w="80" w:type="dxa"/>
            </w:tcMar>
          </w:tcPr>
          <w:p>
            <w:r>
              <w:rPr>
                <w:rFonts w:ascii="Arial" w:hAnsi="Arial"/>
                <w:b/>
                <w:color w:val="FFFFFF"/>
                <w:sz w:val="16"/>
              </w:rPr>
              <w:t>Ownership / finance</w:t>
            </w:r>
          </w:p>
        </w:tc>
        <w:tc>
          <w:tcPr>
            <w:tcW w:type="dxa" w:w="2592"/>
            <w:shd w:fill="111315"/>
            <w:tcMar>
              <w:top w:w="80" w:type="dxa"/>
              <w:start w:w="80" w:type="dxa"/>
              <w:bottom w:w="80" w:type="dxa"/>
              <w:end w:w="80" w:type="dxa"/>
            </w:tcMar>
          </w:tcPr>
          <w:p>
            <w:r>
              <w:rPr>
                <w:rFonts w:ascii="Arial" w:hAnsi="Arial"/>
                <w:b/>
                <w:color w:val="FFFFFF"/>
                <w:sz w:val="16"/>
              </w:rPr>
              <w:t>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Intellectual property and digital assets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Item (brand/domain/trade mark/software/social)</w:t>
            </w:r>
          </w:p>
        </w:tc>
        <w:tc>
          <w:tcPr>
            <w:tcW w:type="dxa" w:w="2592"/>
            <w:shd w:fill="111315"/>
            <w:tcMar>
              <w:top w:w="80" w:type="dxa"/>
              <w:start w:w="80" w:type="dxa"/>
              <w:bottom w:w="80" w:type="dxa"/>
              <w:end w:w="80" w:type="dxa"/>
            </w:tcMar>
          </w:tcPr>
          <w:p>
            <w:r>
              <w:rPr>
                <w:rFonts w:ascii="Arial" w:hAnsi="Arial"/>
                <w:b/>
                <w:color w:val="FFFFFF"/>
                <w:sz w:val="16"/>
              </w:rPr>
              <w:t>Owner</w:t>
            </w:r>
          </w:p>
        </w:tc>
        <w:tc>
          <w:tcPr>
            <w:tcW w:type="dxa" w:w="2592"/>
            <w:shd w:fill="111315"/>
            <w:tcMar>
              <w:top w:w="80" w:type="dxa"/>
              <w:start w:w="80" w:type="dxa"/>
              <w:bottom w:w="80" w:type="dxa"/>
              <w:end w:w="80" w:type="dxa"/>
            </w:tcMar>
          </w:tcPr>
          <w:p>
            <w:r>
              <w:rPr>
                <w:rFonts w:ascii="Arial" w:hAnsi="Arial"/>
                <w:b/>
                <w:color w:val="FFFFFF"/>
                <w:sz w:val="16"/>
              </w:rPr>
              <w:t>Transfer required?</w:t>
            </w:r>
          </w:p>
        </w:tc>
        <w:tc>
          <w:tcPr>
            <w:tcW w:type="dxa" w:w="2592"/>
            <w:shd w:fill="111315"/>
            <w:tcMar>
              <w:top w:w="80" w:type="dxa"/>
              <w:start w:w="80" w:type="dxa"/>
              <w:bottom w:w="80" w:type="dxa"/>
              <w:end w:w="80" w:type="dxa"/>
            </w:tcMar>
          </w:tcPr>
          <w:p>
            <w:r>
              <w:rPr>
                <w:rFonts w:ascii="Arial" w:hAnsi="Arial"/>
                <w:b/>
                <w:color w:val="FFFFFF"/>
                <w:sz w:val="16"/>
              </w:rPr>
              <w:t>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ubheading"/>
      </w:pPr>
      <w:r>
        <w:t>Material contracts, licences and permits</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Contract / licence</w:t>
            </w:r>
          </w:p>
        </w:tc>
        <w:tc>
          <w:tcPr>
            <w:tcW w:type="dxa" w:w="2592"/>
            <w:shd w:fill="111315"/>
            <w:tcMar>
              <w:top w:w="80" w:type="dxa"/>
              <w:start w:w="80" w:type="dxa"/>
              <w:bottom w:w="80" w:type="dxa"/>
              <w:end w:w="80" w:type="dxa"/>
            </w:tcMar>
          </w:tcPr>
          <w:p>
            <w:r>
              <w:rPr>
                <w:rFonts w:ascii="Arial" w:hAnsi="Arial"/>
                <w:b/>
                <w:color w:val="FFFFFF"/>
                <w:sz w:val="16"/>
              </w:rPr>
              <w:t>Counterparty / authority</w:t>
            </w:r>
          </w:p>
        </w:tc>
        <w:tc>
          <w:tcPr>
            <w:tcW w:type="dxa" w:w="2592"/>
            <w:shd w:fill="111315"/>
            <w:tcMar>
              <w:top w:w="80" w:type="dxa"/>
              <w:start w:w="80" w:type="dxa"/>
              <w:bottom w:w="80" w:type="dxa"/>
              <w:end w:w="80" w:type="dxa"/>
            </w:tcMar>
          </w:tcPr>
          <w:p>
            <w:r>
              <w:rPr>
                <w:rFonts w:ascii="Arial" w:hAnsi="Arial"/>
                <w:b/>
                <w:color w:val="FFFFFF"/>
                <w:sz w:val="16"/>
              </w:rPr>
              <w:t>Assign / terminate / retain</w:t>
            </w:r>
          </w:p>
        </w:tc>
        <w:tc>
          <w:tcPr>
            <w:tcW w:type="dxa" w:w="2592"/>
            <w:shd w:fill="111315"/>
            <w:tcMar>
              <w:top w:w="80" w:type="dxa"/>
              <w:start w:w="80" w:type="dxa"/>
              <w:bottom w:w="80" w:type="dxa"/>
              <w:end w:w="80" w:type="dxa"/>
            </w:tcMar>
          </w:tcPr>
          <w:p>
            <w:r>
              <w:rPr>
                <w:rFonts w:ascii="Arial" w:hAnsi="Arial"/>
                <w:b/>
                <w:color w:val="FFFFFF"/>
                <w:sz w:val="16"/>
              </w:rPr>
              <w:t>Consent / expiry notes</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p>
      <w:pPr>
        <w:pStyle w:val="SectionHeading"/>
        <w:keepNext/>
      </w:pPr>
      <w:r>
        <w:t>5. Employees and work in progress</w:t>
      </w:r>
    </w:p>
    <w:p>
      <w:pPr>
        <w:pStyle w:val="Subheading"/>
      </w:pPr>
      <w:r>
        <w:t>Employees potentially affected</w:t>
      </w:r>
    </w:p>
    <w:tbl>
      <w:tblPr>
        <w:tblW w:type="auto" w:w="0"/>
        <w:jc w:val="center"/>
        <w:tblLayout w:type="autofit"/>
        <w:tblLook w:firstColumn="1" w:firstRow="1" w:lastColumn="0" w:lastRow="0" w:noHBand="0" w:noVBand="1" w:val="04A0"/>
      </w:tblPr>
      <w:tblGrid>
        <w:gridCol w:w="2592"/>
        <w:gridCol w:w="2592"/>
        <w:gridCol w:w="2592"/>
        <w:gridCol w:w="2592"/>
      </w:tblGrid>
      <w:tr>
        <w:trPr>
          <w:tblHeader w:val="true"/>
        </w:trPr>
        <w:tc>
          <w:tcPr>
            <w:tcW w:type="dxa" w:w="2592"/>
            <w:shd w:fill="111315"/>
            <w:tcMar>
              <w:top w:w="80" w:type="dxa"/>
              <w:start w:w="80" w:type="dxa"/>
              <w:bottom w:w="80" w:type="dxa"/>
              <w:end w:w="80" w:type="dxa"/>
            </w:tcMar>
          </w:tcPr>
          <w:p>
            <w:r>
              <w:rPr>
                <w:rFonts w:ascii="Arial" w:hAnsi="Arial"/>
                <w:b/>
                <w:color w:val="FFFFFF"/>
                <w:sz w:val="16"/>
              </w:rPr>
              <w:t>Role / identifier</w:t>
            </w:r>
          </w:p>
        </w:tc>
        <w:tc>
          <w:tcPr>
            <w:tcW w:type="dxa" w:w="2592"/>
            <w:shd w:fill="111315"/>
            <w:tcMar>
              <w:top w:w="80" w:type="dxa"/>
              <w:start w:w="80" w:type="dxa"/>
              <w:bottom w:w="80" w:type="dxa"/>
              <w:end w:w="80" w:type="dxa"/>
            </w:tcMar>
          </w:tcPr>
          <w:p>
            <w:r>
              <w:rPr>
                <w:rFonts w:ascii="Arial" w:hAnsi="Arial"/>
                <w:b/>
                <w:color w:val="FFFFFF"/>
                <w:sz w:val="16"/>
              </w:rPr>
              <w:t>Status</w:t>
            </w:r>
          </w:p>
        </w:tc>
        <w:tc>
          <w:tcPr>
            <w:tcW w:type="dxa" w:w="2592"/>
            <w:shd w:fill="111315"/>
            <w:tcMar>
              <w:top w:w="80" w:type="dxa"/>
              <w:start w:w="80" w:type="dxa"/>
              <w:bottom w:w="80" w:type="dxa"/>
              <w:end w:w="80" w:type="dxa"/>
            </w:tcMar>
          </w:tcPr>
          <w:p>
            <w:r>
              <w:rPr>
                <w:rFonts w:ascii="Arial" w:hAnsi="Arial"/>
                <w:b/>
                <w:color w:val="FFFFFF"/>
                <w:sz w:val="16"/>
              </w:rPr>
              <w:t>Start date</w:t>
            </w:r>
          </w:p>
        </w:tc>
        <w:tc>
          <w:tcPr>
            <w:tcW w:type="dxa" w:w="2592"/>
            <w:shd w:fill="111315"/>
            <w:tcMar>
              <w:top w:w="80" w:type="dxa"/>
              <w:start w:w="80" w:type="dxa"/>
              <w:bottom w:w="80" w:type="dxa"/>
              <w:end w:w="80" w:type="dxa"/>
            </w:tcMar>
          </w:tcPr>
          <w:p>
            <w:r>
              <w:rPr>
                <w:rFonts w:ascii="Arial" w:hAnsi="Arial"/>
                <w:b/>
                <w:color w:val="FFFFFF"/>
                <w:sz w:val="16"/>
              </w:rPr>
              <w:t>Leave / entitlement issue</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r>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c>
          <w:tcPr>
            <w:tcW w:type="dxa" w:w="2592"/>
            <w:tcMar>
              <w:top w:w="100" w:type="dxa"/>
              <w:start w:w="80" w:type="dxa"/>
              <w:bottom w:w="100" w:type="dxa"/>
              <w:end w:w="80" w:type="dxa"/>
            </w:tcMar>
            <w:tcBorders>
              <w:top w:val="single" w:sz="4" w:color="D9D3C6"/>
              <w:left w:val="single" w:sz="4" w:color="D9D3C6"/>
              <w:bottom w:val="single" w:sz="4" w:color="D9D3C6"/>
              <w:right w:val="single" w:sz="4" w:color="D9D3C6"/>
            </w:tcBorders>
          </w:tcPr>
          <w:p>
            <w:r>
              <w:t xml:space="preserve"> </w:t>
            </w:r>
          </w:p>
        </w:tc>
      </w:tr>
    </w:tbl>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treatment of employees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Work in progress, customer deposits, gift cards, prepaid services or unfulfilled orders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6. Finance, security and liabilities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Purchaser finance / lender and approval status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Known mortgages, PPSR registrations, equipment finance or other security interests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Debts / creditors / liabilities requiring adjustment or discharge at completion</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7. Due diligence and special protections</w:t>
      </w:r>
    </w:p>
    <w:p>
      <w:pPr>
        <w:pStyle w:val="Question"/>
      </w:pPr>
      <w:r>
        <w:rPr>
          <w:b/>
        </w:rPr>
        <w:t>Buyer due diligence required</w:t>
      </w:r>
    </w:p>
    <w:p>
      <w:pPr>
        <w:pStyle w:val="Response"/>
      </w:pPr>
      <w:r>
        <w:t>Select or delete as appropriate: Financial / Tax / Legal/contracts / Employment / IP / Property/lease / Regulatory/licensing / Other</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Key concerns or matters you want investigated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Warranties / representations that are important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Conditions precedent (finance, landlord consent, licence transfer, due diligence etc.)</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8. Restraint, handover and timing</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Proposed restraint period and area (if any)</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Who should be restrained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Vendor training / handover / assistance required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Key dates and commercial deadlines</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Special conditions already agreed or requested</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r>
              <w:rPr>
                <w:sz w:val="20"/>
              </w:rPr>
              <w:br/>
            </w:r>
            <w:r>
              <w:rPr>
                <w:sz w:val="20"/>
              </w:rPr>
              <w:br/>
            </w:r>
          </w:p>
        </w:tc>
      </w:tr>
    </w:tbl>
    <w:p/>
    <w:p>
      <w:pPr>
        <w:pStyle w:val="SectionHeading"/>
        <w:keepNext/>
      </w:pPr>
      <w:r>
        <w:t>9. Advisers and documents</w:t>
      </w:r>
    </w:p>
    <w:tbl>
      <w:tblPr>
        <w:tblW w:type="auto" w:w="0"/>
        <w:jc w:val="center"/>
        <w:tblLayout w:type="fixed"/>
        <w:tblLook w:firstColumn="1" w:firstRow="1" w:lastColumn="0" w:lastRow="0" w:noHBand="0" w:noVBand="1" w:val="04A0"/>
      </w:tblPr>
      <w:tblGrid>
        <w:gridCol w:w="5184"/>
        <w:gridCol w:w="5184"/>
      </w:tblGrid>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Accountant / tax adviser</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Broker / agent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r>
        <w:tc>
          <w:tcPr>
            <w:tcW w:type="dxa" w:w="3240"/>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color w:val="24272A"/>
                <w:sz w:val="18"/>
              </w:rPr>
              <w:t>Finance broker / lender contact</w:t>
            </w:r>
          </w:p>
        </w:tc>
        <w:tc>
          <w:tcPr>
            <w:tcW w:type="dxa" w:w="640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color w:val="666862"/>
                <w:sz w:val="18"/>
              </w:rPr>
            </w:r>
            <w:r>
              <w:rPr>
                <w:sz w:val="20"/>
              </w:rPr>
            </w:r>
            <w:r>
              <w:rPr>
                <w:sz w:val="20"/>
              </w:rPr>
              <w:br/>
            </w:r>
          </w:p>
        </w:tc>
      </w:tr>
    </w:tbl>
    <w:p/>
    <w:tbl>
      <w:tblPr>
        <w:tblW w:type="auto" w:w="0"/>
        <w:jc w:val="center"/>
        <w:tblLook w:firstColumn="1" w:firstRow="1" w:lastColumn="0" w:lastRow="0" w:noHBand="0" w:noVBand="1" w:val="04A0"/>
      </w:tblPr>
      <w:tblGrid>
        <w:gridCol w:w="10368"/>
      </w:tblGrid>
      <w:tr>
        <w:tc>
          <w:tcPr>
            <w:tcW w:type="dxa" w:w="10368"/>
            <w:shd w:fill="F4F0E8"/>
            <w:tcMar>
              <w:top w:w="130" w:type="dxa"/>
              <w:start w:w="150" w:type="dxa"/>
              <w:bottom w:w="130" w:type="dxa"/>
              <w:end w:w="150" w:type="dxa"/>
            </w:tcMar>
            <w:tcBorders>
              <w:top w:val="nil"/>
              <w:left w:val="single" w:sz="16" w:color="C9A548"/>
              <w:bottom w:val="nil"/>
              <w:right w:val="nil"/>
            </w:tcBorders>
          </w:tcPr>
          <w:p>
            <w:r>
              <w:rPr>
                <w:rFonts w:ascii="Arial" w:hAnsi="Arial"/>
                <w:b/>
                <w:color w:val="C9A548"/>
                <w:sz w:val="16"/>
              </w:rPr>
              <w:t>DOCUMENTS TO PROVIDE</w:t>
              <w:br/>
            </w:r>
            <w:r>
              <w:rPr>
                <w:rFonts w:ascii="Arial" w:hAnsi="Arial"/>
                <w:color w:val="24272A"/>
                <w:sz w:val="18"/>
              </w:rPr>
              <w:t>Please provide, if available: heads of agreement; draft contract; financial statements; asset/stock lists; lease; employee list; material contracts; licences; IP registrations; finance/security information; PPSR details; and any correspondence recording agreed deal terms.</w:t>
            </w:r>
          </w:p>
        </w:tc>
      </w:tr>
    </w:tbl>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