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11315"/>
          <w:sz w:val="32"/>
        </w:rPr>
        <w:t>CLIENT INSTRUCTION QUESTIONNAIRE — COMPANY, SHAREHOLDERS &amp; SUCCESSION</w:t>
      </w:r>
    </w:p>
    <w:p>
      <w:pPr>
        <w:jc w:val="center"/>
      </w:pPr>
      <w:r>
        <w:rPr>
          <w:rFonts w:ascii="Georgia" w:hAnsi="Georgia"/>
          <w:i/>
          <w:color w:val="C9A548"/>
          <w:sz w:val="20"/>
        </w:rPr>
        <w:t>Company incorporation, shareholder agreements and buy/sell planning</w:t>
      </w:r>
    </w:p>
    <w:p>
      <w:pPr>
        <w:pStyle w:val="IntroHeading"/>
      </w:pPr>
      <w:r>
        <w:t>ABOUT THIS QUESTIONNAIRE</w:t>
      </w:r>
    </w:p>
    <w:p>
      <w:pPr>
        <w:pStyle w:val="IntroBody"/>
      </w:pPr>
      <w:r>
        <w:t>Company and shareholder arrangements work best when ownership, decision-making and exit rules are documented before a dispute or succession event occurs. Depending on the matter, this may involve a company constitution, shareholders agreement, share issue or transfer documents, governance provisions, funding arrangements, restraints and a buy/sell or succession mechanism for death, disability, retirement, insolvency or relationship breakdown.</w:t>
      </w:r>
    </w:p>
    <w:p>
      <w:pPr>
        <w:pStyle w:val="IntroBody"/>
      </w:pPr>
      <w:r>
        <w:t>This questionnaire helps us understand who owns and controls the business, which decisions require special approval and what should happen if an owner wants or needs to leave. It is also intended to identify areas that should be coordinated with tax, accounting, insurance or estate-planning advice. A shareholders agreement should reflect how the business actually operates; standard clauses can create problems if voting thresholds, funding obligations, valuation rules or transfer restrictions do not match the commercial arrangement between the owners.</w:t>
      </w:r>
    </w:p>
    <w:p>
      <w:pPr>
        <w:pStyle w:val="IntroHeading"/>
      </w:pPr>
      <w:r>
        <w:t>WHAT TO HAVE READY</w:t>
      </w:r>
    </w:p>
    <w:p>
      <w:pPr>
        <w:pStyle w:val="IntroBullet"/>
      </w:pPr>
      <w:r>
        <w:t>•  Current ASIC company extract, constitution and any shareholders agreement.</w:t>
      </w:r>
    </w:p>
    <w:p>
      <w:pPr>
        <w:pStyle w:val="IntroBullet"/>
      </w:pPr>
      <w:r>
        <w:t>•  Current ownership percentages, share classes and details of directors or other officeholders.</w:t>
      </w:r>
    </w:p>
    <w:p>
      <w:pPr>
        <w:pStyle w:val="IntroBullet"/>
      </w:pPr>
      <w:r>
        <w:t>•  Any proposed ownership changes, new investment or shareholder loans.</w:t>
      </w:r>
    </w:p>
    <w:p>
      <w:pPr>
        <w:pStyle w:val="IntroBullet"/>
      </w:pPr>
      <w:r>
        <w:t>•  The decisions that should require unanimous, special-majority or board approval.</w:t>
      </w:r>
    </w:p>
    <w:p>
      <w:pPr>
        <w:pStyle w:val="IntroBullet"/>
      </w:pPr>
      <w:r>
        <w:t>•  Existing arrangements for dividends, salaries, related-party dealings and business funding.</w:t>
      </w:r>
    </w:p>
    <w:p>
      <w:pPr>
        <w:pStyle w:val="IntroBullet"/>
      </w:pPr>
      <w:r>
        <w:t>•  Any insurance, buy/sell, succession or estate-planning documents affecting the owners.</w:t>
      </w:r>
    </w:p>
    <w:p>
      <w:pPr>
        <w:pStyle w:val="IntroBullet"/>
      </w:pPr>
      <w:r>
        <w:t>•  Your preferred approach to transfers, valuation, deadlock, default and exit events.</w:t>
      </w:r>
    </w:p>
    <w:p>
      <w:pPr>
        <w:spacing w:after="200"/>
        <w:pBdr>
          <w:bottom w:val="single" w:sz="18" w:color="C9A548"/>
        </w:pBdr>
      </w:pPr>
      <w:r>
        <w:rPr>
          <w:sz w:val="4"/>
        </w:rPr>
      </w:r>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IMPORTANT</w:t>
              <w:br/>
            </w:r>
            <w:r>
              <w:rPr>
                <w:rFonts w:ascii="Arial" w:hAnsi="Arial"/>
                <w:color w:val="24272A"/>
                <w:sz w:val="18"/>
              </w:rPr>
              <w:t>This form captures the legal and commercial choices needed to establish or update a company and, where relevant, prepare a shareholders or business succession agreement. We will identify issues requiring separate tax, accounting or financial advice.</w:t>
            </w:r>
          </w:p>
        </w:tc>
      </w:tr>
    </w:tbl>
    <w:p/>
    <w:p>
      <w:pPr>
        <w:pStyle w:val="SectionHeading"/>
        <w:keepNext/>
      </w:pPr>
      <w:r>
        <w:t>1. What do you need?</w:t>
      </w:r>
    </w:p>
    <w:p>
      <w:pPr>
        <w:pStyle w:val="Question"/>
      </w:pPr>
      <w:r>
        <w:rPr>
          <w:b/>
        </w:rPr>
        <w:t>Work requested</w:t>
      </w:r>
    </w:p>
    <w:p>
      <w:pPr>
        <w:pStyle w:val="Response"/>
      </w:pPr>
      <w:r>
        <w:t>Select or delete as appropriate: New company / Company constitution / Shareholders agreement / Share issue / transfer / Business succession / buy-sell / Corporate restructure / Other</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Brief objective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Deadline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Accountant / tax adviser</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p>
      <w:pPr>
        <w:pStyle w:val="SectionHeading"/>
        <w:keepNext/>
      </w:pPr>
      <w:r>
        <w:t>2. Company details</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First choice company name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Second choice company name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Existing ACN / ABN (if applicable)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Registered office address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Principal place of business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Main business activity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Ultimate holding company (if any)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Special-purpose company requirements (if any)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p>
      <w:pPr>
        <w:pStyle w:val="Subheading"/>
      </w:pPr>
      <w:r>
        <w:t>Directors / secretaries / officeholders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Full legal name</w:t>
            </w:r>
          </w:p>
        </w:tc>
        <w:tc>
          <w:tcPr>
            <w:tcW w:type="dxa" w:w="2592"/>
            <w:shd w:fill="111315"/>
            <w:tcMar>
              <w:top w:w="80" w:type="dxa"/>
              <w:start w:w="80" w:type="dxa"/>
              <w:bottom w:w="80" w:type="dxa"/>
              <w:end w:w="80" w:type="dxa"/>
            </w:tcMar>
          </w:tcPr>
          <w:p>
            <w:r>
              <w:rPr>
                <w:rFonts w:ascii="Arial" w:hAnsi="Arial"/>
                <w:b/>
                <w:color w:val="FFFFFF"/>
                <w:sz w:val="16"/>
              </w:rPr>
              <w:t>Role</w:t>
            </w:r>
          </w:p>
        </w:tc>
        <w:tc>
          <w:tcPr>
            <w:tcW w:type="dxa" w:w="2592"/>
            <w:shd w:fill="111315"/>
            <w:tcMar>
              <w:top w:w="80" w:type="dxa"/>
              <w:start w:w="80" w:type="dxa"/>
              <w:bottom w:w="80" w:type="dxa"/>
              <w:end w:w="80" w:type="dxa"/>
            </w:tcMar>
          </w:tcPr>
          <w:p>
            <w:r>
              <w:rPr>
                <w:rFonts w:ascii="Arial" w:hAnsi="Arial"/>
                <w:b/>
                <w:color w:val="FFFFFF"/>
                <w:sz w:val="16"/>
              </w:rPr>
              <w:t>Residential address</w:t>
            </w:r>
          </w:p>
        </w:tc>
        <w:tc>
          <w:tcPr>
            <w:tcW w:type="dxa" w:w="2592"/>
            <w:shd w:fill="111315"/>
            <w:tcMar>
              <w:top w:w="80" w:type="dxa"/>
              <w:start w:w="80" w:type="dxa"/>
              <w:bottom w:w="80" w:type="dxa"/>
              <w:end w:w="80" w:type="dxa"/>
            </w:tcMar>
          </w:tcPr>
          <w:p>
            <w:r>
              <w:rPr>
                <w:rFonts w:ascii="Arial" w:hAnsi="Arial"/>
                <w:b/>
                <w:color w:val="FFFFFF"/>
                <w:sz w:val="16"/>
              </w:rPr>
              <w:t>DOB / place of birth</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DIRECTOR IDS</w:t>
              <w:br/>
            </w:r>
            <w:r>
              <w:rPr>
                <w:rFonts w:ascii="Arial" w:hAnsi="Arial"/>
                <w:color w:val="24272A"/>
                <w:sz w:val="18"/>
              </w:rPr>
              <w:t>Do not send Director ID numbers. We only need confirmation that each proposed director has obtained a Director ID where required.</w:t>
            </w:r>
          </w:p>
        </w:tc>
      </w:tr>
    </w:tbl>
    <w:p/>
    <w:p>
      <w:pPr>
        <w:pStyle w:val="Subheading"/>
      </w:pPr>
      <w:r>
        <w:t>Shareholders / members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Name / entity</w:t>
            </w:r>
          </w:p>
        </w:tc>
        <w:tc>
          <w:tcPr>
            <w:tcW w:type="dxa" w:w="2592"/>
            <w:shd w:fill="111315"/>
            <w:tcMar>
              <w:top w:w="80" w:type="dxa"/>
              <w:start w:w="80" w:type="dxa"/>
              <w:bottom w:w="80" w:type="dxa"/>
              <w:end w:w="80" w:type="dxa"/>
            </w:tcMar>
          </w:tcPr>
          <w:p>
            <w:r>
              <w:rPr>
                <w:rFonts w:ascii="Arial" w:hAnsi="Arial"/>
                <w:b/>
                <w:color w:val="FFFFFF"/>
                <w:sz w:val="16"/>
              </w:rPr>
              <w:t>Shares / class</w:t>
            </w:r>
          </w:p>
        </w:tc>
        <w:tc>
          <w:tcPr>
            <w:tcW w:type="dxa" w:w="2592"/>
            <w:shd w:fill="111315"/>
            <w:tcMar>
              <w:top w:w="80" w:type="dxa"/>
              <w:start w:w="80" w:type="dxa"/>
              <w:bottom w:w="80" w:type="dxa"/>
              <w:end w:w="80" w:type="dxa"/>
            </w:tcMar>
          </w:tcPr>
          <w:p>
            <w:r>
              <w:rPr>
                <w:rFonts w:ascii="Arial" w:hAnsi="Arial"/>
                <w:b/>
                <w:color w:val="FFFFFF"/>
                <w:sz w:val="16"/>
              </w:rPr>
              <w:t>Issue price / paid-up amount</w:t>
            </w:r>
          </w:p>
        </w:tc>
        <w:tc>
          <w:tcPr>
            <w:tcW w:type="dxa" w:w="2592"/>
            <w:shd w:fill="111315"/>
            <w:tcMar>
              <w:top w:w="80" w:type="dxa"/>
              <w:start w:w="80" w:type="dxa"/>
              <w:bottom w:w="80" w:type="dxa"/>
              <w:end w:w="80" w:type="dxa"/>
            </w:tcMar>
          </w:tcPr>
          <w:p>
            <w:r>
              <w:rPr>
                <w:rFonts w:ascii="Arial" w:hAnsi="Arial"/>
                <w:b/>
                <w:color w:val="FFFFFF"/>
                <w:sz w:val="16"/>
              </w:rPr>
              <w:t>Beneficially held?</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SectionHeading"/>
        <w:keepNext/>
      </w:pPr>
      <w:r>
        <w:t>3. Governance and decision-making</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Board composition / appointment rights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Decisions requiring unanimous or special approval</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Quorum / chair / casting vote preferences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Banking / signing authority requirements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Information and reporting rights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4. Funding, distributions and related-party dealings</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Initial capital contributions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Shareholder / director loans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Future funding obligations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Dividend / distribution policy if agreed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Related-party transactions or conflicts to regulate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5. Transfers, exits and disputes</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Pre-emptive rights on share transfers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Permitted transfers (for example to family trusts or related entities)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Tag-along / drag-along rights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Deadlock mechanism</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Valuation method on exit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Restraint / confidentiality requirements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6. Business succession / buy-sell planning (if relevant)</w:t>
      </w:r>
    </w:p>
    <w:p>
      <w:pPr>
        <w:pStyle w:val="Subheading"/>
      </w:pPr>
      <w:r>
        <w:t>Key principals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Name</w:t>
            </w:r>
          </w:p>
        </w:tc>
        <w:tc>
          <w:tcPr>
            <w:tcW w:type="dxa" w:w="2592"/>
            <w:shd w:fill="111315"/>
            <w:tcMar>
              <w:top w:w="80" w:type="dxa"/>
              <w:start w:w="80" w:type="dxa"/>
              <w:bottom w:w="80" w:type="dxa"/>
              <w:end w:w="80" w:type="dxa"/>
            </w:tcMar>
          </w:tcPr>
          <w:p>
            <w:r>
              <w:rPr>
                <w:rFonts w:ascii="Arial" w:hAnsi="Arial"/>
                <w:b/>
                <w:color w:val="FFFFFF"/>
                <w:sz w:val="16"/>
              </w:rPr>
              <w:t>Direct / indirect ownership</w:t>
            </w:r>
          </w:p>
        </w:tc>
        <w:tc>
          <w:tcPr>
            <w:tcW w:type="dxa" w:w="2592"/>
            <w:shd w:fill="111315"/>
            <w:tcMar>
              <w:top w:w="80" w:type="dxa"/>
              <w:start w:w="80" w:type="dxa"/>
              <w:bottom w:w="80" w:type="dxa"/>
              <w:end w:w="80" w:type="dxa"/>
            </w:tcMar>
          </w:tcPr>
          <w:p>
            <w:r>
              <w:rPr>
                <w:rFonts w:ascii="Arial" w:hAnsi="Arial"/>
                <w:b/>
                <w:color w:val="FFFFFF"/>
                <w:sz w:val="16"/>
              </w:rPr>
              <w:t>Related holding entity</w:t>
            </w:r>
          </w:p>
        </w:tc>
        <w:tc>
          <w:tcPr>
            <w:tcW w:type="dxa" w:w="2592"/>
            <w:shd w:fill="111315"/>
            <w:tcMar>
              <w:top w:w="80" w:type="dxa"/>
              <w:start w:w="80" w:type="dxa"/>
              <w:bottom w:w="80" w:type="dxa"/>
              <w:end w:w="80" w:type="dxa"/>
            </w:tcMar>
          </w:tcPr>
          <w:p>
            <w:r>
              <w:rPr>
                <w:rFonts w:ascii="Arial" w:hAnsi="Arial"/>
                <w:b/>
                <w:color w:val="FFFFFF"/>
                <w:sz w:val="16"/>
              </w:rPr>
              <w:t>Insurance / funding notes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Question"/>
      </w:pPr>
      <w:r>
        <w:rPr>
          <w:b/>
        </w:rPr>
        <w:t>Events that should trigger a transfer or buyout</w:t>
      </w:r>
    </w:p>
    <w:p>
      <w:pPr>
        <w:pStyle w:val="Response"/>
      </w:pPr>
      <w:r>
        <w:t>Select or delete as appropriate: Death / Total/permanent disability / Trauma/critical illness / Long-term incapacity / Retirement / Bankruptcy/insolvency / Relationship breakdown / Other</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How should the purchase price be determined?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How is the buyout expected to be funded (insurance, cash, instalments etc.)?</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Who should acquire the departing owner’s interest?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timeframes or option process already agreed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7. Existing documents</w:t>
      </w:r>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DOCUMENTS TO PROVIDE</w:t>
              <w:br/>
            </w:r>
            <w:r>
              <w:rPr>
                <w:rFonts w:ascii="Arial" w:hAnsi="Arial"/>
                <w:color w:val="24272A"/>
                <w:sz w:val="18"/>
              </w:rPr>
              <w:t>Provide any existing constitution, shareholders agreement, ASIC company statement, trust deeds for shareholder entities, loan agreements, option deeds, insurance advice and any written record of terms agreed between owners.</w:t>
            </w:r>
          </w:p>
        </w:tc>
      </w:tr>
    </w:tbl>
    <w:p/>
    <w:p>
      <w:pPr>
        <w:pStyle w:val="IntroHeading"/>
        <w:keepNext/>
      </w:pPr>
      <w:r>
        <w:t>WHAT HAPPENS NEXT</w:t>
      </w:r>
    </w:p>
    <w:p>
      <w:pPr>
        <w:pStyle w:val="IntroBody"/>
      </w:pPr>
      <w:r>
        <w:t>We will review the corporate documents and your commercial instructions, identify inconsistencies or decisions still required and confirm the recommended documents and fee. Where tax, valuation, insurance or succession consequences are material, we may ask for input from your accountant, adviser or insurer before final drafting. The completed questionnaire is an instruction aid only and does not itself alter company ownership, governance or shareholder rights.</w:t>
      </w:r>
    </w:p>
    <w:sectPr w:rsidR="00FC693F" w:rsidRPr="0006063C" w:rsidSect="00034616">
      <w:headerReference w:type="default" r:id="rId9"/>
      <w:footerReference w:type="default" r:id="rId10"/>
      <w:pgSz w:w="12240" w:h="15840"/>
      <w:pgMar w:top="864"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862"/>
        <w:sz w:val="14"/>
      </w:rPr>
      <w:t>Allenby Legal Pty Ltd | 0493 118 980 | enquiries@allenbylegal.com.au | www.allenbylegal.com.au</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color w:val="111315"/>
        <w:sz w:val="26"/>
      </w:rPr>
      <w:t xml:space="preserve">Allenby </w:t>
    </w:r>
    <w:r>
      <w:rPr>
        <w:rFonts w:ascii="Georgia" w:hAnsi="Georgia"/>
        <w:color w:val="C9A548"/>
        <w:sz w:val="26"/>
      </w:rPr>
      <w:t>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4272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Heading"/>
    <w:pPr>
      <w:spacing w:after="100"/>
    </w:pPr>
    <w:rPr>
      <w:rFonts w:ascii="Georgia" w:hAnsi="Georgia"/>
      <w:b w:val="0"/>
      <w:color w:val="111315"/>
      <w:sz w:val="32"/>
    </w:rPr>
  </w:style>
  <w:style w:type="paragraph" w:customStyle="1" w:styleId="Subheading">
    <w:name w:val="Subheading"/>
    <w:pPr>
      <w:spacing w:after="100"/>
    </w:pPr>
    <w:rPr>
      <w:rFonts w:ascii="Arial" w:hAnsi="Arial"/>
      <w:b/>
      <w:color w:val="111315"/>
      <w:sz w:val="22"/>
    </w:rPr>
  </w:style>
  <w:style w:type="paragraph" w:customStyle="1" w:styleId="Question">
    <w:name w:val="Question"/>
    <w:pPr>
      <w:spacing w:after="100"/>
    </w:pPr>
    <w:rPr>
      <w:rFonts w:ascii="Arial" w:hAnsi="Arial"/>
      <w:b w:val="0"/>
      <w:color w:val="24272A"/>
      <w:sz w:val="18"/>
    </w:rPr>
  </w:style>
  <w:style w:type="paragraph" w:customStyle="1" w:styleId="Response">
    <w:name w:val="Response"/>
    <w:pPr>
      <w:spacing w:after="100"/>
    </w:pPr>
    <w:rPr>
      <w:rFonts w:ascii="Arial" w:hAnsi="Arial"/>
      <w:b w:val="0"/>
      <w:color w:val="666862"/>
      <w:sz w:val="16"/>
    </w:rPr>
  </w:style>
  <w:style w:type="paragraph" w:customStyle="1" w:styleId="BodyText">
    <w:name w:val="BodyText"/>
    <w:pPr>
      <w:spacing w:after="100"/>
    </w:pPr>
    <w:rPr>
      <w:rFonts w:ascii="Arial" w:hAnsi="Arial"/>
      <w:b w:val="0"/>
      <w:color w:val="24272A"/>
      <w:sz w:val="18"/>
    </w:rPr>
  </w:style>
  <w:style w:type="paragraph" w:customStyle="1" w:styleId="IntroHeading">
    <w:name w:val="IntroHeading"/>
    <w:basedOn w:val="Normal"/>
    <w:pPr>
      <w:spacing w:before="140" w:after="80"/>
    </w:pPr>
    <w:rPr>
      <w:rFonts w:ascii="Arial" w:hAnsi="Arial"/>
      <w:b/>
      <w:color w:val="8F6E1E"/>
      <w:sz w:val="21"/>
    </w:rPr>
  </w:style>
  <w:style w:type="paragraph" w:customStyle="1" w:styleId="IntroBody">
    <w:name w:val="IntroBody"/>
    <w:basedOn w:val="Normal"/>
    <w:pPr>
      <w:spacing w:after="100" w:line="259" w:lineRule="auto"/>
    </w:pPr>
    <w:rPr>
      <w:rFonts w:ascii="Arial" w:hAnsi="Arial"/>
      <w:sz w:val="18"/>
    </w:rPr>
  </w:style>
  <w:style w:type="paragraph" w:customStyle="1" w:styleId="IntroBullet">
    <w:name w:val="IntroBullet"/>
    <w:basedOn w:val="Normal"/>
    <w:pPr>
      <w:spacing w:after="50" w:line="250" w:lineRule="auto"/>
      <w:ind w:left="280" w:hanging="180"/>
    </w:pPr>
    <w:rPr>
      <w:rFonts w:ascii="Arial" w:hAnsi="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