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11315"/>
          <w:sz w:val="32"/>
        </w:rPr>
        <w:t>CLIENT INSTRUCTION QUESTIONNAIRE — NSW CONVEYANCING</w:t>
      </w:r>
    </w:p>
    <w:p>
      <w:pPr>
        <w:jc w:val="center"/>
      </w:pPr>
      <w:r>
        <w:rPr>
          <w:rFonts w:ascii="Georgia" w:hAnsi="Georgia"/>
          <w:i/>
          <w:color w:val="C9A548"/>
          <w:sz w:val="20"/>
        </w:rPr>
        <w:t>Residential purchase and sale instructions</w:t>
      </w:r>
    </w:p>
    <w:p>
      <w:pPr>
        <w:pStyle w:val="IntroHeading"/>
      </w:pPr>
      <w:r>
        <w:t>ABOUT THIS QUESTIONNAIRE</w:t>
      </w:r>
    </w:p>
    <w:p>
      <w:pPr>
        <w:pStyle w:val="IntroBody"/>
      </w:pPr>
      <w:r>
        <w:t>Conveyancing is the legal process for transferring ownership of property. For a purchase, this usually involves reviewing the contract and title, advising on material risks and special conditions, coordinating finance and searches, dealing with exchange and completing electronic settlement. For a sale, it includes preparing or reviewing the contract for sale, dealing with purchaser enquiries, exchange, discharge of any mortgage and settlement.</w:t>
      </w:r>
    </w:p>
    <w:p>
      <w:pPr>
        <w:pStyle w:val="IntroBody"/>
      </w:pPr>
      <w:r>
        <w:t>This questionnaire identifies the deadlines, ownership and finance arrangements we need to address. If you are buying at auction or have been asked to exchange quickly, tell us immediately and provide the complete contract. The fixed fee applies to standard NSW residential matters within the scope we confirm in writing; unusual title, entity, tax, foreign-purchaser, deceased-estate, off-the-plan or dispute issues may require a separate quote.</w:t>
      </w:r>
    </w:p>
    <w:p>
      <w:pPr>
        <w:pStyle w:val="IntroHeading"/>
      </w:pPr>
      <w:r>
        <w:t>WHAT TO HAVE READY</w:t>
      </w:r>
    </w:p>
    <w:p>
      <w:pPr>
        <w:pStyle w:val="IntroBullet"/>
      </w:pPr>
      <w:r>
        <w:t>•  The complete contract for sale, if one is already available.</w:t>
      </w:r>
    </w:p>
    <w:p>
      <w:pPr>
        <w:pStyle w:val="IntroBullet"/>
      </w:pPr>
      <w:r>
        <w:t>•  Property address and the real estate agent's details.</w:t>
      </w:r>
    </w:p>
    <w:p>
      <w:pPr>
        <w:pStyle w:val="IntroBullet"/>
      </w:pPr>
      <w:r>
        <w:t>•  Names of all purchasers or vendors exactly as they are to appear on the transaction.</w:t>
      </w:r>
    </w:p>
    <w:p>
      <w:pPr>
        <w:pStyle w:val="IntroBullet"/>
      </w:pPr>
      <w:r>
        <w:t>•  Finance or lender details and any pre-approval or loan deadline.</w:t>
      </w:r>
    </w:p>
    <w:p>
      <w:pPr>
        <w:pStyle w:val="IntroBullet"/>
      </w:pPr>
      <w:r>
        <w:t>•  Auction, exchange, cooling-off and proposed settlement dates.</w:t>
      </w:r>
    </w:p>
    <w:p>
      <w:pPr>
        <w:pStyle w:val="IntroBullet"/>
      </w:pPr>
      <w:r>
        <w:t>•  For a sale, details of any mortgage, tenancy, inclusions/exclusions and known alterations or title issues.</w:t>
      </w:r>
    </w:p>
    <w:p>
      <w:pPr>
        <w:pStyle w:val="IntroBullet"/>
      </w:pPr>
      <w:r>
        <w:t>•  Any building, pest or strata reports already obtained and any special concerns you want us to investigate.</w:t>
      </w:r>
    </w:p>
    <w:p>
      <w:pPr>
        <w:spacing w:after="200"/>
        <w:pBdr>
          <w:bottom w:val="single" w:sz="18" w:color="C9A548"/>
        </w:pBdr>
      </w:pPr>
      <w:r>
        <w:rPr>
          <w:sz w:val="4"/>
        </w:rPr>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IMPORTANT</w:t>
              <w:br/>
            </w:r>
            <w:r>
              <w:rPr>
                <w:rFonts w:ascii="Arial" w:hAnsi="Arial"/>
                <w:color w:val="24272A"/>
                <w:sz w:val="18"/>
              </w:rPr>
              <w:t>Complete the sections relevant to your purchase or sale. If you are buying at auction or have a contract-review deadline, send the contract separately as soon as possible. Do not include banking credentials, passwords or card details.</w:t>
            </w:r>
          </w:p>
        </w:tc>
      </w:tr>
    </w:tbl>
    <w:p/>
    <w:p>
      <w:pPr>
        <w:pStyle w:val="Question"/>
      </w:pPr>
      <w:r>
        <w:rPr>
          <w:b/>
        </w:rPr>
        <w:t>Matter type</w:t>
      </w:r>
    </w:p>
    <w:p>
      <w:pPr>
        <w:pStyle w:val="Response"/>
      </w:pPr>
      <w:r>
        <w:t>Select or delete as appropriate: Purchase / Sale</w:t>
      </w:r>
    </w:p>
    <w:p>
      <w:pPr>
        <w:pStyle w:val="SectionHeading"/>
        <w:keepNext/>
      </w:pPr>
      <w:r>
        <w:t>1. Client and property</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Client full legal name(s) / entity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Phone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Email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Property address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Agent and contact details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Price / expected price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exchange / auction date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settlement date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bl>
    <w:p/>
    <w:p>
      <w:pPr>
        <w:pStyle w:val="SectionHeading"/>
        <w:keepNext/>
      </w:pPr>
      <w:r>
        <w:t>2. Purchase instructions (if buying)</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Purchaser name(s) / proposed ownership structure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Deposit available / proposed deposit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Finance lender / broker and approval status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Will the property be your home, an investment or another use?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first-home or duty concession you intend to claim</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Does any purchaser require foreign purchaser / FIRB advice?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Building, pest, strata or other reports already obtained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Inclusions you expect to remain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Known defects, strata issues or concerns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Special conditions you want considered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p>
      <w:pPr>
        <w:pStyle w:val="SectionHeading"/>
        <w:keepNext/>
      </w:pPr>
      <w:r>
        <w:t>3. Sale instructions (if selling)</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Registered owner(s)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Mortgage / lender to discharge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Is the property vacant, owner-occupied or tenanted?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If tenanted: managing agent, rent and lease expiry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Inclusions / exclusions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Renovations, additions or structures that may require disclosure or approval documents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Swimming pool / strata / community title / other special features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dispute, notice, defect or issue a buyer may ask about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Preferred settlement date and any linked purchase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4. Timing, tax and practical matters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urgent deadline or reason timing is critical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Accountant / tax adviser (if investment property, GST or structure issues arise)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Other solicitor / conveyancer if a related transaction is involved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Other instructions or concerns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DOCUMENTS TO PROVIDE</w:t>
              <w:br/>
            </w:r>
            <w:r>
              <w:rPr>
                <w:rFonts w:ascii="Arial" w:hAnsi="Arial"/>
                <w:color w:val="24272A"/>
                <w:sz w:val="18"/>
              </w:rPr>
              <w:t>For a purchase, provide the full contract for sale and any reports already obtained. For a sale, provide your latest council/strata information if available, mortgage details, lease (if tenanted), and documents for recent building work or approvals.</w:t>
            </w:r>
          </w:p>
        </w:tc>
      </w:tr>
    </w:tbl>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