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11315"/>
          <w:sz w:val="32"/>
        </w:rPr>
        <w:t>CLIENT INSTRUCTION QUESTIONNAIRE — SMSF, FINANCE &amp; GUARANTEE</w:t>
      </w:r>
    </w:p>
    <w:p>
      <w:pPr>
        <w:jc w:val="center"/>
      </w:pPr>
      <w:r>
        <w:rPr>
          <w:rFonts w:ascii="Georgia" w:hAnsi="Georgia"/>
          <w:i/>
          <w:color w:val="C9A548"/>
          <w:sz w:val="20"/>
        </w:rPr>
        <w:t>LRBA, private/commercial finance and independent legal advice</w:t>
      </w:r>
    </w:p>
    <w:p>
      <w:pPr>
        <w:pStyle w:val="IntroHeading"/>
      </w:pPr>
      <w:r>
        <w:t>ABOUT THIS QUESTIONNAIRE</w:t>
      </w:r>
    </w:p>
    <w:p>
      <w:pPr>
        <w:pStyle w:val="IntroBody"/>
      </w:pPr>
      <w:r>
        <w:t>Finance, mortgage, guarantee and SMSF borrowing matters often involve several legal relationships at the same time. A borrower may grant security, a director or family member may give a personal guarantee, and an SMSF limited recourse borrowing arrangement may also involve a separate security or bare trustee. The lender's documents can impose substantial obligations even where the guarantor does not receive the loan proceeds personally.</w:t>
      </w:r>
    </w:p>
    <w:p>
      <w:pPr>
        <w:pStyle w:val="IntroBody"/>
      </w:pPr>
      <w:r>
        <w:t>This questionnaire gives us the information needed to identify your role, the transaction structure, the security being provided and any deadline imposed by the lender or settlement timetable. Where you require independent legal advice about a guarantee, mortgage or loan, our role is to explain the legal nature and effect of the documents and the risks you are assuming. It is not financial advice about whether the investment or borrowing is commercially suitable. SMSF transactions should also be coordinated with appropriately qualified tax, accounting and financial advisers where relevant.</w:t>
      </w:r>
    </w:p>
    <w:p>
      <w:pPr>
        <w:pStyle w:val="IntroHeading"/>
      </w:pPr>
      <w:r>
        <w:t>WHAT TO HAVE READY</w:t>
      </w:r>
    </w:p>
    <w:p>
      <w:pPr>
        <w:pStyle w:val="IntroBullet"/>
      </w:pPr>
      <w:r>
        <w:t>•  The complete lender or financier document pack, including the loan agreement, guarantee, mortgage and security documents.</w:t>
      </w:r>
    </w:p>
    <w:p>
      <w:pPr>
        <w:pStyle w:val="IntroBullet"/>
      </w:pPr>
      <w:r>
        <w:t>•  Any term sheet, letter of offer or facility summary.</w:t>
      </w:r>
    </w:p>
    <w:p>
      <w:pPr>
        <w:pStyle w:val="IntroBullet"/>
      </w:pPr>
      <w:r>
        <w:t>•  For SMSF matters, the trust deed, trustee details and any bare/security trust documents.</w:t>
      </w:r>
    </w:p>
    <w:p>
      <w:pPr>
        <w:pStyle w:val="IntroBullet"/>
      </w:pPr>
      <w:r>
        <w:t>•  Details of the property or other asset being acquired or secured.</w:t>
      </w:r>
    </w:p>
    <w:p>
      <w:pPr>
        <w:pStyle w:val="IntroBullet"/>
      </w:pPr>
      <w:r>
        <w:t>•  Loan amount, borrower, lender, guarantors, security providers and proposed settlement date.</w:t>
      </w:r>
    </w:p>
    <w:p>
      <w:pPr>
        <w:pStyle w:val="IntroBullet"/>
      </w:pPr>
      <w:r>
        <w:t>•  Your accountant, financial adviser, broker or lender contact details where relevant.</w:t>
      </w:r>
    </w:p>
    <w:p>
      <w:pPr>
        <w:pStyle w:val="IntroBullet"/>
      </w:pPr>
      <w:r>
        <w:t>•  Photo identification and any lender-specific solicitor certificate or declaration requirements.</w:t>
      </w:r>
    </w:p>
    <w:p>
      <w:pPr>
        <w:spacing w:after="200"/>
        <w:pBdr>
          <w:bottom w:val="single" w:sz="18" w:color="C9A548"/>
        </w:pBdr>
      </w:pPr>
      <w:r>
        <w:rPr>
          <w:sz w:val="4"/>
        </w:rPr>
      </w:r>
    </w:p>
    <w:tbl>
      <w:tblPr>
        <w:tblW w:type="auto" w:w="0"/>
        <w:jc w:val="center"/>
        <w:tblLook w:firstColumn="1" w:firstRow="1" w:lastColumn="0" w:lastRow="0" w:noHBand="0" w:noVBand="1" w:val="04A0"/>
      </w:tblPr>
      <w:tblGrid>
        <w:gridCol w:w="10368"/>
      </w:tblGrid>
      <w:tr>
        <w:tc>
          <w:tcPr>
            <w:tcW w:type="dxa" w:w="10368"/>
            <w:shd w:fill="F4F0E8"/>
            <w:tcMar>
              <w:top w:w="130" w:type="dxa"/>
              <w:start w:w="150" w:type="dxa"/>
              <w:bottom w:w="130" w:type="dxa"/>
              <w:end w:w="150" w:type="dxa"/>
            </w:tcMar>
            <w:tcBorders>
              <w:top w:val="nil"/>
              <w:left w:val="single" w:sz="16" w:color="C9A548"/>
              <w:bottom w:val="nil"/>
              <w:right w:val="nil"/>
            </w:tcBorders>
          </w:tcPr>
          <w:p>
            <w:r>
              <w:rPr>
                <w:rFonts w:ascii="Arial" w:hAnsi="Arial"/>
                <w:b/>
                <w:color w:val="C9A548"/>
                <w:sz w:val="16"/>
              </w:rPr>
              <w:t>IMPORTANT</w:t>
              <w:br/>
            </w:r>
            <w:r>
              <w:rPr>
                <w:rFonts w:ascii="Arial" w:hAnsi="Arial"/>
                <w:color w:val="24272A"/>
                <w:sz w:val="18"/>
              </w:rPr>
              <w:t>This questionnaire helps us understand the transaction before the advice conference. It is not financial advice. Do not include passwords, PINs, card details, banking credentials or tax file numbers. For independent legal advice matters, we may need to speak with each guarantor separately.</w:t>
            </w:r>
          </w:p>
        </w:tc>
      </w:tr>
    </w:tbl>
    <w:p/>
    <w:p>
      <w:pPr>
        <w:pStyle w:val="SectionHeading"/>
        <w:keepNext/>
      </w:pPr>
      <w:r>
        <w:t>1. Matter and client role</w:t>
      </w:r>
    </w:p>
    <w:p>
      <w:pPr>
        <w:pStyle w:val="Question"/>
      </w:pPr>
      <w:r>
        <w:rPr>
          <w:b/>
        </w:rPr>
        <w:t>Matter type</w:t>
      </w:r>
    </w:p>
    <w:p>
      <w:pPr>
        <w:pStyle w:val="Response"/>
      </w:pPr>
      <w:r>
        <w:t>Select or delete as appropriate: SMSF establishment / update / SMSF limited recourse borrowing / Private / commercial loan / Mortgage / security / Guarantee / independent legal advice / Refinance / Other</w:t>
      </w:r>
    </w:p>
    <w:p>
      <w:pPr>
        <w:pStyle w:val="Question"/>
      </w:pPr>
      <w:r>
        <w:rPr>
          <w:b/>
        </w:rPr>
        <w:t>Your role</w:t>
      </w:r>
    </w:p>
    <w:p>
      <w:pPr>
        <w:pStyle w:val="Response"/>
      </w:pPr>
      <w:r>
        <w:t>Select or delete as appropriate: Borrower / Guarantor / Mortgagor / Lender / SMSF trustee/director/member / Security / bare trustee / Other</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Client full name / entity</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Phone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Email</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Deadline / proposed settlement date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Lender / financier</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Borrower entity</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bl>
    <w:p/>
    <w:p>
      <w:pPr>
        <w:pStyle w:val="SectionHeading"/>
        <w:keepNext/>
      </w:pPr>
      <w:r>
        <w:t>2. SMSF details (if applicable)</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Fund name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Fund ABN (if known)</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Trustee name and ACN (if corporate trustee)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Fund deed date / latest amendment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bl>
    <w:p/>
    <w:p>
      <w:pPr>
        <w:pStyle w:val="Subheading"/>
      </w:pPr>
      <w:r>
        <w:t>Members / trustee directors</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Full legal name</w:t>
            </w:r>
          </w:p>
        </w:tc>
        <w:tc>
          <w:tcPr>
            <w:tcW w:type="dxa" w:w="2592"/>
            <w:shd w:fill="111315"/>
            <w:tcMar>
              <w:top w:w="80" w:type="dxa"/>
              <w:start w:w="80" w:type="dxa"/>
              <w:bottom w:w="80" w:type="dxa"/>
              <w:end w:w="80" w:type="dxa"/>
            </w:tcMar>
          </w:tcPr>
          <w:p>
            <w:r>
              <w:rPr>
                <w:rFonts w:ascii="Arial" w:hAnsi="Arial"/>
                <w:b/>
                <w:color w:val="FFFFFF"/>
                <w:sz w:val="16"/>
              </w:rPr>
              <w:t>Role(s)</w:t>
            </w:r>
          </w:p>
        </w:tc>
        <w:tc>
          <w:tcPr>
            <w:tcW w:type="dxa" w:w="2592"/>
            <w:shd w:fill="111315"/>
            <w:tcMar>
              <w:top w:w="80" w:type="dxa"/>
              <w:start w:w="80" w:type="dxa"/>
              <w:bottom w:w="80" w:type="dxa"/>
              <w:end w:w="80" w:type="dxa"/>
            </w:tcMar>
          </w:tcPr>
          <w:p>
            <w:r>
              <w:rPr>
                <w:rFonts w:ascii="Arial" w:hAnsi="Arial"/>
                <w:b/>
                <w:color w:val="FFFFFF"/>
                <w:sz w:val="16"/>
              </w:rPr>
              <w:t>Address</w:t>
            </w:r>
          </w:p>
        </w:tc>
        <w:tc>
          <w:tcPr>
            <w:tcW w:type="dxa" w:w="2592"/>
            <w:shd w:fill="111315"/>
            <w:tcMar>
              <w:top w:w="80" w:type="dxa"/>
              <w:start w:w="80" w:type="dxa"/>
              <w:bottom w:w="80" w:type="dxa"/>
              <w:end w:w="80" w:type="dxa"/>
            </w:tcMar>
          </w:tcPr>
          <w:p>
            <w:r>
              <w:rPr>
                <w:rFonts w:ascii="Arial" w:hAnsi="Arial"/>
                <w:b/>
                <w:color w:val="FFFFFF"/>
                <w:sz w:val="16"/>
              </w:rPr>
              <w:t>Relevant notes</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Custodian / holding trustee company</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Bare trust / holding trust already established?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Accountant / financial adviser</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bl>
    <w:p/>
    <w:p>
      <w:pPr>
        <w:pStyle w:val="SectionHeading"/>
        <w:keepNext/>
      </w:pPr>
      <w:r>
        <w:t>3. Asset and transaction</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Property / asset being acquired or refinanced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Purchase price / current value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Deposit paid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Contract date / settlement date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Who signed the purchase contract and in what capacity?</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Any improvements, development or related-party aspects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bl>
    <w:p/>
    <w:p>
      <w:pPr>
        <w:pStyle w:val="SectionHeading"/>
        <w:keepNext/>
      </w:pPr>
      <w:r>
        <w:t>4. Loan and security</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Loan amount / facility limit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Interest rate / type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Term</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Repayment basis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Security being granted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Guarantees / indemnities required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Any additional collateral outside the acquired asset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Default interest / material fees (if known)</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bl>
    <w:p/>
    <w:p>
      <w:pPr>
        <w:pStyle w:val="SectionHeading"/>
        <w:keepNext/>
      </w:pPr>
      <w:r>
        <w:t>5. Independent guarantor / borrower advice</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Relationship between guarantor and borrower</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What benefit, if any, does the guarantor expect from the transaction?</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Any concerns about ability to repay or the borrower’s financial position</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Any pressure, urgency or circumstances affecting your decision</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Questions you want addressed at the advice conference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r>
              <w:rPr>
                <w:sz w:val="20"/>
              </w:rPr>
              <w:br/>
            </w:r>
          </w:p>
        </w:tc>
      </w:tr>
    </w:tbl>
    <w:p/>
    <w:p>
      <w:pPr>
        <w:pStyle w:val="Question"/>
      </w:pPr>
      <w:r>
        <w:rPr>
          <w:b/>
        </w:rPr>
        <w:t>Have you had the opportunity to obtain independent financial/accounting advice?</w:t>
      </w:r>
    </w:p>
    <w:p>
      <w:pPr>
        <w:pStyle w:val="Response"/>
      </w:pPr>
      <w:r>
        <w:t>Select or delete as appropriate: Yes / No / Not required / not yet</w:t>
      </w:r>
    </w:p>
    <w:p>
      <w:pPr>
        <w:pStyle w:val="SectionHeading"/>
        <w:keepNext/>
      </w:pPr>
      <w:r>
        <w:t>6. Documents</w:t>
      </w:r>
    </w:p>
    <w:tbl>
      <w:tblPr>
        <w:tblW w:type="auto" w:w="0"/>
        <w:jc w:val="center"/>
        <w:tblLook w:firstColumn="1" w:firstRow="1" w:lastColumn="0" w:lastRow="0" w:noHBand="0" w:noVBand="1" w:val="04A0"/>
      </w:tblPr>
      <w:tblGrid>
        <w:gridCol w:w="10368"/>
      </w:tblGrid>
      <w:tr>
        <w:tc>
          <w:tcPr>
            <w:tcW w:type="dxa" w:w="10368"/>
            <w:shd w:fill="F4F0E8"/>
            <w:tcMar>
              <w:top w:w="130" w:type="dxa"/>
              <w:start w:w="150" w:type="dxa"/>
              <w:bottom w:w="130" w:type="dxa"/>
              <w:end w:w="150" w:type="dxa"/>
            </w:tcMar>
            <w:tcBorders>
              <w:top w:val="nil"/>
              <w:left w:val="single" w:sz="16" w:color="C9A548"/>
              <w:bottom w:val="nil"/>
              <w:right w:val="nil"/>
            </w:tcBorders>
          </w:tcPr>
          <w:p>
            <w:r>
              <w:rPr>
                <w:rFonts w:ascii="Arial" w:hAnsi="Arial"/>
                <w:b/>
                <w:color w:val="C9A548"/>
                <w:sz w:val="16"/>
              </w:rPr>
              <w:t>DOCUMENTS TO PROVIDE</w:t>
              <w:br/>
            </w:r>
            <w:r>
              <w:rPr>
                <w:rFonts w:ascii="Arial" w:hAnsi="Arial"/>
                <w:color w:val="24272A"/>
                <w:sz w:val="18"/>
              </w:rPr>
              <w:t>Provide the complete lender/loan pack, mortgage/security documents, guarantee/indemnity, loan offer, relevant trust/SMSF deeds, company extracts, contract for the asset, and any lender checklist or solicitor certificate. Do not sign before the advice conference unless we tell you it is appropriate.</w:t>
            </w:r>
          </w:p>
        </w:tc>
      </w:tr>
    </w:tbl>
    <w:p/>
    <w:p>
      <w:pPr>
        <w:pStyle w:val="IntroHeading"/>
        <w:keepNext/>
      </w:pPr>
      <w:r>
        <w:t>WHAT HAPPENS NEXT</w:t>
      </w:r>
    </w:p>
    <w:p>
      <w:pPr>
        <w:pStyle w:val="IntroBody"/>
      </w:pPr>
      <w:r>
        <w:t>After the conflict check, we will review the transaction documents and confirm the scope, fee and any lender requirements for independent advice or certification. A conference may need to be conducted separately from the borrower or other interested parties so that advice is genuinely independent. We will not sign a solicitor certificate or declaration unless the required advice has been given and we are satisfied that the relevant professional obligations have been met.</w:t>
      </w:r>
    </w:p>
    <w:sectPr w:rsidR="00FC693F" w:rsidRPr="0006063C" w:rsidSect="00034616">
      <w:headerReference w:type="default" r:id="rId9"/>
      <w:footerReference w:type="default" r:id="rId10"/>
      <w:pgSz w:w="12240" w:h="15840"/>
      <w:pgMar w:top="864"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862"/>
        <w:sz w:val="14"/>
      </w:rPr>
      <w:t>Allenby Legal Pty Ltd | 0493 118 980 | enquiries@allenbylegal.com.au | www.allenbylegal.com.au</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Georgia" w:hAnsi="Georgia"/>
        <w:color w:val="111315"/>
        <w:sz w:val="26"/>
      </w:rPr>
      <w:t xml:space="preserve">Allenby </w:t>
    </w:r>
    <w:r>
      <w:rPr>
        <w:rFonts w:ascii="Georgia" w:hAnsi="Georgia"/>
        <w:color w:val="C9A548"/>
        <w:sz w:val="26"/>
      </w:rPr>
      <w:t>Legal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24272A"/>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Heading"/>
    <w:pPr>
      <w:spacing w:after="100"/>
    </w:pPr>
    <w:rPr>
      <w:rFonts w:ascii="Georgia" w:hAnsi="Georgia"/>
      <w:b w:val="0"/>
      <w:color w:val="111315"/>
      <w:sz w:val="32"/>
    </w:rPr>
  </w:style>
  <w:style w:type="paragraph" w:customStyle="1" w:styleId="Subheading">
    <w:name w:val="Subheading"/>
    <w:pPr>
      <w:spacing w:after="100"/>
    </w:pPr>
    <w:rPr>
      <w:rFonts w:ascii="Arial" w:hAnsi="Arial"/>
      <w:b/>
      <w:color w:val="111315"/>
      <w:sz w:val="22"/>
    </w:rPr>
  </w:style>
  <w:style w:type="paragraph" w:customStyle="1" w:styleId="Question">
    <w:name w:val="Question"/>
    <w:pPr>
      <w:spacing w:after="100"/>
    </w:pPr>
    <w:rPr>
      <w:rFonts w:ascii="Arial" w:hAnsi="Arial"/>
      <w:b w:val="0"/>
      <w:color w:val="24272A"/>
      <w:sz w:val="18"/>
    </w:rPr>
  </w:style>
  <w:style w:type="paragraph" w:customStyle="1" w:styleId="Response">
    <w:name w:val="Response"/>
    <w:pPr>
      <w:spacing w:after="100"/>
    </w:pPr>
    <w:rPr>
      <w:rFonts w:ascii="Arial" w:hAnsi="Arial"/>
      <w:b w:val="0"/>
      <w:color w:val="666862"/>
      <w:sz w:val="16"/>
    </w:rPr>
  </w:style>
  <w:style w:type="paragraph" w:customStyle="1" w:styleId="BodyText">
    <w:name w:val="BodyText"/>
    <w:pPr>
      <w:spacing w:after="100"/>
    </w:pPr>
    <w:rPr>
      <w:rFonts w:ascii="Arial" w:hAnsi="Arial"/>
      <w:b w:val="0"/>
      <w:color w:val="24272A"/>
      <w:sz w:val="18"/>
    </w:rPr>
  </w:style>
  <w:style w:type="paragraph" w:customStyle="1" w:styleId="IntroHeading">
    <w:name w:val="IntroHeading"/>
    <w:basedOn w:val="Normal"/>
    <w:pPr>
      <w:spacing w:before="140" w:after="80"/>
    </w:pPr>
    <w:rPr>
      <w:rFonts w:ascii="Arial" w:hAnsi="Arial"/>
      <w:b/>
      <w:color w:val="8F6E1E"/>
      <w:sz w:val="21"/>
    </w:rPr>
  </w:style>
  <w:style w:type="paragraph" w:customStyle="1" w:styleId="IntroBody">
    <w:name w:val="IntroBody"/>
    <w:basedOn w:val="Normal"/>
    <w:pPr>
      <w:spacing w:after="100" w:line="259" w:lineRule="auto"/>
    </w:pPr>
    <w:rPr>
      <w:rFonts w:ascii="Arial" w:hAnsi="Arial"/>
      <w:sz w:val="18"/>
    </w:rPr>
  </w:style>
  <w:style w:type="paragraph" w:customStyle="1" w:styleId="IntroBullet">
    <w:name w:val="IntroBullet"/>
    <w:basedOn w:val="Normal"/>
    <w:pPr>
      <w:spacing w:after="50" w:line="250" w:lineRule="auto"/>
      <w:ind w:left="280" w:hanging="180"/>
    </w:pPr>
    <w:rPr>
      <w:rFonts w:ascii="Arial" w:hAnsi="Arial"/>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