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11315"/>
          <w:sz w:val="32"/>
        </w:rPr>
        <w:t>CLIENT INSTRUCTION QUESTIONNAIRE — TRUSTS &amp; STRUCTURING</w:t>
      </w:r>
    </w:p>
    <w:p>
      <w:pPr>
        <w:jc w:val="center"/>
      </w:pPr>
      <w:r>
        <w:rPr>
          <w:rFonts w:ascii="Georgia" w:hAnsi="Georgia"/>
          <w:i/>
          <w:color w:val="C9A548"/>
          <w:sz w:val="20"/>
        </w:rPr>
        <w:t>Discretionary trusts, unit trusts, deed reviews and amendments</w:t>
      </w:r>
    </w:p>
    <w:p>
      <w:pPr>
        <w:pStyle w:val="IntroHeading"/>
      </w:pPr>
      <w:r>
        <w:t>ABOUT THIS QUESTIONNAIRE</w:t>
      </w:r>
    </w:p>
    <w:p>
      <w:pPr>
        <w:pStyle w:val="IntroBody"/>
      </w:pPr>
      <w:r>
        <w:t>Trusts are used for a range of family, investment, business and succession purposes, but the legal outcome depends on the trust deed and on who holds the key control roles. For discretionary trusts, trustee and appointor powers, beneficiary definitions and succession arrangements are particularly important. For unit trusts, the rights attaching to units, transfer provisions and relationships between unitholders also need to be considered.</w:t>
      </w:r>
    </w:p>
    <w:p>
      <w:pPr>
        <w:pStyle w:val="IntroBody"/>
      </w:pPr>
      <w:r>
        <w:t>Creating or changing a trust can have tax, duty, land-tax, foreign-person, asset-protection and succession consequences. This questionnaire gathers the legal and commercial facts needed to understand the proposed structure or amendment, but it is not a substitute for transaction-specific tax or accounting advice. Do not sign a deed of variation, change a trustee or appointor, issue or transfer units, or move assets merely on the assumption that a proposed change is routine; some changes can have consequences beyond the wording of the deed itself.</w:t>
      </w:r>
    </w:p>
    <w:p>
      <w:pPr>
        <w:pStyle w:val="IntroHeading"/>
      </w:pPr>
      <w:r>
        <w:t>WHAT TO HAVE READY</w:t>
      </w:r>
    </w:p>
    <w:p>
      <w:pPr>
        <w:pStyle w:val="IntroBullet"/>
      </w:pPr>
      <w:r>
        <w:t>•  The complete current trust deed and every deed of variation or change of trustee/appointor, if the trust already exists.</w:t>
      </w:r>
    </w:p>
    <w:p>
      <w:pPr>
        <w:pStyle w:val="IntroBullet"/>
      </w:pPr>
      <w:r>
        <w:t>•  Current trustee, appointor, guardian/protector and beneficiary details.</w:t>
      </w:r>
    </w:p>
    <w:p>
      <w:pPr>
        <w:pStyle w:val="IntroBullet"/>
      </w:pPr>
      <w:r>
        <w:t>•  For unit trusts, the current unit register and details of each unitholder and unit class.</w:t>
      </w:r>
    </w:p>
    <w:p>
      <w:pPr>
        <w:pStyle w:val="IntroBullet"/>
      </w:pPr>
      <w:r>
        <w:t>•  A summary of the trust's assets and any proposed acquisition, sale, distribution or restructure.</w:t>
      </w:r>
    </w:p>
    <w:p>
      <w:pPr>
        <w:pStyle w:val="IntroBullet"/>
      </w:pPr>
      <w:r>
        <w:t>•  Details of any foreign persons or overseas beneficiaries that may be relevant.</w:t>
      </w:r>
    </w:p>
    <w:p>
      <w:pPr>
        <w:pStyle w:val="IntroBullet"/>
      </w:pPr>
      <w:r>
        <w:t>•  Your accountant or tax adviser's contact details and any written structuring advice already received.</w:t>
      </w:r>
    </w:p>
    <w:p>
      <w:pPr>
        <w:pStyle w:val="IntroBullet"/>
      </w:pPr>
      <w:r>
        <w:t>•  The succession or control outcome you want if a key person dies, loses capacity or exits.</w:t>
      </w:r>
    </w:p>
    <w:p>
      <w:pPr>
        <w:spacing w:after="200"/>
        <w:pBdr>
          <w:bottom w:val="single" w:sz="18" w:color="C9A548"/>
        </w:pBdr>
      </w:pPr>
      <w:r>
        <w:rPr>
          <w:sz w:val="4"/>
        </w:rPr>
      </w:r>
    </w:p>
    <w:tbl>
      <w:tblPr>
        <w:tblW w:type="auto" w:w="0"/>
        <w:jc w:val="center"/>
        <w:tblLook w:firstColumn="1" w:firstRow="1" w:lastColumn="0" w:lastRow="0" w:noHBand="0" w:noVBand="1" w:val="04A0"/>
      </w:tblPr>
      <w:tblGrid>
        <w:gridCol w:w="10368"/>
      </w:tblGrid>
      <w:tr>
        <w:tc>
          <w:tcPr>
            <w:tcW w:type="dxa" w:w="10368"/>
            <w:shd w:fill="F4F0E8"/>
            <w:tcMar>
              <w:top w:w="130" w:type="dxa"/>
              <w:start w:w="150" w:type="dxa"/>
              <w:bottom w:w="130" w:type="dxa"/>
              <w:end w:w="150" w:type="dxa"/>
            </w:tcMar>
            <w:tcBorders>
              <w:top w:val="nil"/>
              <w:left w:val="single" w:sz="16" w:color="C9A548"/>
              <w:bottom w:val="nil"/>
              <w:right w:val="nil"/>
            </w:tcBorders>
          </w:tcPr>
          <w:p>
            <w:r>
              <w:rPr>
                <w:rFonts w:ascii="Arial" w:hAnsi="Arial"/>
                <w:b/>
                <w:color w:val="C9A548"/>
                <w:sz w:val="16"/>
              </w:rPr>
              <w:t>IMPORTANT</w:t>
              <w:br/>
            </w:r>
            <w:r>
              <w:rPr>
                <w:rFonts w:ascii="Arial" w:hAnsi="Arial"/>
                <w:color w:val="24272A"/>
                <w:sz w:val="18"/>
              </w:rPr>
              <w:t>Trust drafting and variations can have tax, duty, asset-protection and succession consequences. This questionnaire lets us identify the legal structure and the documents we need before advising. We may recommend coordinated advice from your accountant or tax adviser.</w:t>
            </w:r>
          </w:p>
        </w:tc>
      </w:tr>
    </w:tbl>
    <w:p/>
    <w:p>
      <w:pPr>
        <w:pStyle w:val="SectionHeading"/>
        <w:keepNext/>
      </w:pPr>
      <w:r>
        <w:t>1. Work requested</w:t>
      </w:r>
    </w:p>
    <w:p>
      <w:pPr>
        <w:pStyle w:val="Question"/>
      </w:pPr>
      <w:r>
        <w:rPr>
          <w:b/>
        </w:rPr>
        <w:t>Matter type</w:t>
      </w:r>
    </w:p>
    <w:p>
      <w:pPr>
        <w:pStyle w:val="Response"/>
      </w:pPr>
      <w:r>
        <w:t>Select or delete as appropriate: New discretionary / family trust / New unit trust / Trust deed review / Trust deed amendment / Change of trustee / appointor / Foreign-person exclusion / surcharge-duty review / Succession / control review / Other</w:t>
      </w:r>
    </w:p>
    <w:tbl>
      <w:tblPr>
        <w:tblW w:type="auto" w:w="0"/>
        <w:jc w:val="center"/>
        <w:tblLayout w:type="fixed"/>
        <w:tblLook w:firstColumn="1" w:firstRow="1" w:lastColumn="0" w:lastRow="0" w:noHBand="0" w:noVBand="1" w:val="04A0"/>
      </w:tblPr>
      <w:tblGrid>
        <w:gridCol w:w="5184"/>
        <w:gridCol w:w="5184"/>
      </w:tblGrid>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Purpose of the trust / proposed change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State / territory most closely connected with the trust</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Deadline / transaction date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Accountant / tax adviser</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bl>
    <w:p/>
    <w:p>
      <w:pPr>
        <w:pStyle w:val="SectionHeading"/>
        <w:keepNext/>
      </w:pPr>
      <w:r>
        <w:t>2. Existing trust (if applicable)</w:t>
      </w:r>
    </w:p>
    <w:tbl>
      <w:tblPr>
        <w:tblW w:type="auto" w:w="0"/>
        <w:jc w:val="center"/>
        <w:tblLayout w:type="fixed"/>
        <w:tblLook w:firstColumn="1" w:firstRow="1" w:lastColumn="0" w:lastRow="0" w:noHBand="0" w:noVBand="1" w:val="04A0"/>
      </w:tblPr>
      <w:tblGrid>
        <w:gridCol w:w="5184"/>
        <w:gridCol w:w="5184"/>
      </w:tblGrid>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Trust name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Original deed date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Dates of amendments / variations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Current trustee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Trustee ACN (if company)</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Current appointor / principal / guardian (terminology depends on deed)</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Vesting date (if known)</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bl>
    <w:p/>
    <w:p>
      <w:pPr>
        <w:pStyle w:val="SectionHeading"/>
        <w:keepNext/>
      </w:pPr>
      <w:r>
        <w:t>3. Proposed parties and control</w:t>
      </w:r>
    </w:p>
    <w:tbl>
      <w:tblPr>
        <w:tblW w:type="auto" w:w="0"/>
        <w:jc w:val="center"/>
        <w:tblLayout w:type="fixed"/>
        <w:tblLook w:firstColumn="1" w:firstRow="1" w:lastColumn="0" w:lastRow="0" w:noHBand="0" w:noVBand="1" w:val="04A0"/>
      </w:tblPr>
      <w:tblGrid>
        <w:gridCol w:w="5184"/>
        <w:gridCol w:w="5184"/>
      </w:tblGrid>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Proposed trustee and address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Proposed appointor / principal / controller</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Proposed successor controller(s) on death or incapacity</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Settlor (for a new discretionary trust, if already selected)</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bl>
    <w:p/>
    <w:p>
      <w:pPr>
        <w:pStyle w:val="Subheading"/>
      </w:pPr>
      <w:r>
        <w:t>Primary beneficiaries / family group</w:t>
      </w:r>
    </w:p>
    <w:tbl>
      <w:tblPr>
        <w:tblW w:type="auto" w:w="0"/>
        <w:jc w:val="center"/>
        <w:tblLayout w:type="autofit"/>
        <w:tblLook w:firstColumn="1" w:firstRow="1" w:lastColumn="0" w:lastRow="0" w:noHBand="0" w:noVBand="1" w:val="04A0"/>
      </w:tblPr>
      <w:tblGrid>
        <w:gridCol w:w="2592"/>
        <w:gridCol w:w="2592"/>
        <w:gridCol w:w="2592"/>
        <w:gridCol w:w="2592"/>
      </w:tblGrid>
      <w:tr>
        <w:trPr>
          <w:tblHeader w:val="true"/>
        </w:trPr>
        <w:tc>
          <w:tcPr>
            <w:tcW w:type="dxa" w:w="2592"/>
            <w:shd w:fill="111315"/>
            <w:tcMar>
              <w:top w:w="80" w:type="dxa"/>
              <w:start w:w="80" w:type="dxa"/>
              <w:bottom w:w="80" w:type="dxa"/>
              <w:end w:w="80" w:type="dxa"/>
            </w:tcMar>
          </w:tcPr>
          <w:p>
            <w:r>
              <w:rPr>
                <w:rFonts w:ascii="Arial" w:hAnsi="Arial"/>
                <w:b/>
                <w:color w:val="FFFFFF"/>
                <w:sz w:val="16"/>
              </w:rPr>
              <w:t>Name</w:t>
            </w:r>
          </w:p>
        </w:tc>
        <w:tc>
          <w:tcPr>
            <w:tcW w:type="dxa" w:w="2592"/>
            <w:shd w:fill="111315"/>
            <w:tcMar>
              <w:top w:w="80" w:type="dxa"/>
              <w:start w:w="80" w:type="dxa"/>
              <w:bottom w:w="80" w:type="dxa"/>
              <w:end w:w="80" w:type="dxa"/>
            </w:tcMar>
          </w:tcPr>
          <w:p>
            <w:r>
              <w:rPr>
                <w:rFonts w:ascii="Arial" w:hAnsi="Arial"/>
                <w:b/>
                <w:color w:val="FFFFFF"/>
                <w:sz w:val="16"/>
              </w:rPr>
              <w:t>Relationship / category</w:t>
            </w:r>
          </w:p>
        </w:tc>
        <w:tc>
          <w:tcPr>
            <w:tcW w:type="dxa" w:w="2592"/>
            <w:shd w:fill="111315"/>
            <w:tcMar>
              <w:top w:w="80" w:type="dxa"/>
              <w:start w:w="80" w:type="dxa"/>
              <w:bottom w:w="80" w:type="dxa"/>
              <w:end w:w="80" w:type="dxa"/>
            </w:tcMar>
          </w:tcPr>
          <w:p>
            <w:r>
              <w:rPr>
                <w:rFonts w:ascii="Arial" w:hAnsi="Arial"/>
                <w:b/>
                <w:color w:val="FFFFFF"/>
                <w:sz w:val="16"/>
              </w:rPr>
              <w:t>Resident status relevant to structure?</w:t>
            </w:r>
          </w:p>
        </w:tc>
        <w:tc>
          <w:tcPr>
            <w:tcW w:type="dxa" w:w="2592"/>
            <w:shd w:fill="111315"/>
            <w:tcMar>
              <w:top w:w="80" w:type="dxa"/>
              <w:start w:w="80" w:type="dxa"/>
              <w:bottom w:w="80" w:type="dxa"/>
              <w:end w:w="80" w:type="dxa"/>
            </w:tcMar>
          </w:tcPr>
          <w:p>
            <w:r>
              <w:rPr>
                <w:rFonts w:ascii="Arial" w:hAnsi="Arial"/>
                <w:b/>
                <w:color w:val="FFFFFF"/>
                <w:sz w:val="16"/>
              </w:rPr>
              <w:t>Notes</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bl>
    <w:p/>
    <w:p>
      <w:pPr>
        <w:pStyle w:val="SectionHeading"/>
        <w:keepNext/>
      </w:pPr>
      <w:r>
        <w:t>4. Unit trust details (if applicable)</w:t>
      </w:r>
    </w:p>
    <w:p>
      <w:pPr>
        <w:pStyle w:val="Subheading"/>
      </w:pPr>
      <w:r>
        <w:t>Proposed / current unitholders</w:t>
      </w:r>
    </w:p>
    <w:tbl>
      <w:tblPr>
        <w:tblW w:type="auto" w:w="0"/>
        <w:jc w:val="center"/>
        <w:tblLayout w:type="autofit"/>
        <w:tblLook w:firstColumn="1" w:firstRow="1" w:lastColumn="0" w:lastRow="0" w:noHBand="0" w:noVBand="1" w:val="04A0"/>
      </w:tblPr>
      <w:tblGrid>
        <w:gridCol w:w="2592"/>
        <w:gridCol w:w="2592"/>
        <w:gridCol w:w="2592"/>
        <w:gridCol w:w="2592"/>
      </w:tblGrid>
      <w:tr>
        <w:trPr>
          <w:tblHeader w:val="true"/>
        </w:trPr>
        <w:tc>
          <w:tcPr>
            <w:tcW w:type="dxa" w:w="2592"/>
            <w:shd w:fill="111315"/>
            <w:tcMar>
              <w:top w:w="80" w:type="dxa"/>
              <w:start w:w="80" w:type="dxa"/>
              <w:bottom w:w="80" w:type="dxa"/>
              <w:end w:w="80" w:type="dxa"/>
            </w:tcMar>
          </w:tcPr>
          <w:p>
            <w:r>
              <w:rPr>
                <w:rFonts w:ascii="Arial" w:hAnsi="Arial"/>
                <w:b/>
                <w:color w:val="FFFFFF"/>
                <w:sz w:val="16"/>
              </w:rPr>
              <w:t>Name / entity</w:t>
            </w:r>
          </w:p>
        </w:tc>
        <w:tc>
          <w:tcPr>
            <w:tcW w:type="dxa" w:w="2592"/>
            <w:shd w:fill="111315"/>
            <w:tcMar>
              <w:top w:w="80" w:type="dxa"/>
              <w:start w:w="80" w:type="dxa"/>
              <w:bottom w:w="80" w:type="dxa"/>
              <w:end w:w="80" w:type="dxa"/>
            </w:tcMar>
          </w:tcPr>
          <w:p>
            <w:r>
              <w:rPr>
                <w:rFonts w:ascii="Arial" w:hAnsi="Arial"/>
                <w:b/>
                <w:color w:val="FFFFFF"/>
                <w:sz w:val="16"/>
              </w:rPr>
              <w:t>Units / class</w:t>
            </w:r>
          </w:p>
        </w:tc>
        <w:tc>
          <w:tcPr>
            <w:tcW w:type="dxa" w:w="2592"/>
            <w:shd w:fill="111315"/>
            <w:tcMar>
              <w:top w:w="80" w:type="dxa"/>
              <w:start w:w="80" w:type="dxa"/>
              <w:bottom w:w="80" w:type="dxa"/>
              <w:end w:w="80" w:type="dxa"/>
            </w:tcMar>
          </w:tcPr>
          <w:p>
            <w:r>
              <w:rPr>
                <w:rFonts w:ascii="Arial" w:hAnsi="Arial"/>
                <w:b/>
                <w:color w:val="FFFFFF"/>
                <w:sz w:val="16"/>
              </w:rPr>
              <w:t>Issue price / amount paid</w:t>
            </w:r>
          </w:p>
        </w:tc>
        <w:tc>
          <w:tcPr>
            <w:tcW w:type="dxa" w:w="2592"/>
            <w:shd w:fill="111315"/>
            <w:tcMar>
              <w:top w:w="80" w:type="dxa"/>
              <w:start w:w="80" w:type="dxa"/>
              <w:bottom w:w="80" w:type="dxa"/>
              <w:end w:w="80" w:type="dxa"/>
            </w:tcMar>
          </w:tcPr>
          <w:p>
            <w:r>
              <w:rPr>
                <w:rFonts w:ascii="Arial" w:hAnsi="Arial"/>
                <w:b/>
                <w:color w:val="FFFFFF"/>
                <w:sz w:val="16"/>
              </w:rPr>
              <w:t>Notes</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bl>
    <w:p/>
    <w:tbl>
      <w:tblPr>
        <w:tblW w:type="auto" w:w="0"/>
        <w:jc w:val="center"/>
        <w:tblLayout w:type="fixed"/>
        <w:tblLook w:firstColumn="1" w:firstRow="1" w:lastColumn="0" w:lastRow="0" w:noHBand="0" w:noVBand="1" w:val="04A0"/>
      </w:tblPr>
      <w:tblGrid>
        <w:gridCol w:w="5184"/>
        <w:gridCol w:w="5184"/>
      </w:tblGrid>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Different unit classes or special rights required?</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Restrictions on transfer / pre-emption / valuation</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bl>
    <w:p/>
    <w:p>
      <w:pPr>
        <w:pStyle w:val="SectionHeading"/>
        <w:keepNext/>
      </w:pPr>
      <w:r>
        <w:t>5. Assets, transactions and foreign-person issues</w:t>
      </w:r>
    </w:p>
    <w:tbl>
      <w:tblPr>
        <w:tblW w:type="auto" w:w="0"/>
        <w:jc w:val="center"/>
        <w:tblLayout w:type="fixed"/>
        <w:tblLook w:firstColumn="1" w:firstRow="1" w:lastColumn="0" w:lastRow="0" w:noHBand="0" w:noVBand="1" w:val="04A0"/>
      </w:tblPr>
      <w:tblGrid>
        <w:gridCol w:w="5184"/>
        <w:gridCol w:w="5184"/>
      </w:tblGrid>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Assets the trust will acquire or already holds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NSW land or proposed property acquisition</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Borrowing / finance arrangements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Any non-resident, foreign person or foreign entity connection requiring review</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Reason an exclusion or deed amendment is being considered</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r>
              <w:rPr>
                <w:sz w:val="20"/>
              </w:rPr>
              <w:br/>
            </w:r>
          </w:p>
        </w:tc>
      </w:tr>
    </w:tbl>
    <w:p/>
    <w:p>
      <w:pPr>
        <w:pStyle w:val="SectionHeading"/>
        <w:keepNext/>
      </w:pPr>
      <w:r>
        <w:t>6. Documents and intended amendment</w:t>
      </w:r>
    </w:p>
    <w:tbl>
      <w:tblPr>
        <w:tblW w:type="auto" w:w="0"/>
        <w:jc w:val="center"/>
        <w:tblLayout w:type="fixed"/>
        <w:tblLook w:firstColumn="1" w:firstRow="1" w:lastColumn="0" w:lastRow="0" w:noHBand="0" w:noVBand="1" w:val="04A0"/>
      </w:tblPr>
      <w:tblGrid>
        <w:gridCol w:w="5184"/>
        <w:gridCol w:w="5184"/>
      </w:tblGrid>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Describe the precise change or outcome you want</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Any transaction depending on the amendment</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bl>
    <w:p/>
    <w:tbl>
      <w:tblPr>
        <w:tblW w:type="auto" w:w="0"/>
        <w:jc w:val="center"/>
        <w:tblLook w:firstColumn="1" w:firstRow="1" w:lastColumn="0" w:lastRow="0" w:noHBand="0" w:noVBand="1" w:val="04A0"/>
      </w:tblPr>
      <w:tblGrid>
        <w:gridCol w:w="10368"/>
      </w:tblGrid>
      <w:tr>
        <w:tc>
          <w:tcPr>
            <w:tcW w:type="dxa" w:w="10368"/>
            <w:shd w:fill="F4F0E8"/>
            <w:tcMar>
              <w:top w:w="130" w:type="dxa"/>
              <w:start w:w="150" w:type="dxa"/>
              <w:bottom w:w="130" w:type="dxa"/>
              <w:end w:w="150" w:type="dxa"/>
            </w:tcMar>
            <w:tcBorders>
              <w:top w:val="nil"/>
              <w:left w:val="single" w:sz="16" w:color="C9A548"/>
              <w:bottom w:val="nil"/>
              <w:right w:val="nil"/>
            </w:tcBorders>
          </w:tcPr>
          <w:p>
            <w:r>
              <w:rPr>
                <w:rFonts w:ascii="Arial" w:hAnsi="Arial"/>
                <w:b/>
                <w:color w:val="C9A548"/>
                <w:sz w:val="16"/>
              </w:rPr>
              <w:t>DOCUMENTS TO PROVIDE</w:t>
              <w:br/>
            </w:r>
            <w:r>
              <w:rPr>
                <w:rFonts w:ascii="Arial" w:hAnsi="Arial"/>
                <w:color w:val="24272A"/>
                <w:sz w:val="18"/>
              </w:rPr>
              <w:t>Provide the original trust deed and every amendment, change-of-trustee document and appointor/control document; current ASIC extract for a corporate trustee; recent accounts if control or loan balances matter; and documents for any property or transaction driving the change.</w:t>
            </w:r>
          </w:p>
        </w:tc>
      </w:tr>
    </w:tbl>
    <w:p/>
    <w:p>
      <w:pPr>
        <w:pStyle w:val="IntroHeading"/>
        <w:keepNext/>
      </w:pPr>
      <w:r>
        <w:t>WHAT HAPPENS NEXT</w:t>
      </w:r>
    </w:p>
    <w:p>
      <w:pPr>
        <w:pStyle w:val="IntroBody"/>
      </w:pPr>
      <w:r>
        <w:t>We will review the trust deed, amendment history and proposed transaction, identify the legal drafting and control issues and confirm what further tax, duty or accounting input is needed. We will then scope the required deed or advice and provide a fee. Completing this questionnaire does not create, amend or vary a trust and should not be relied on as authority to implement a restructure or transfer assets.</w:t>
      </w:r>
    </w:p>
    <w:sectPr w:rsidR="00FC693F" w:rsidRPr="0006063C" w:rsidSect="00034616">
      <w:headerReference w:type="default" r:id="rId9"/>
      <w:footerReference w:type="default" r:id="rId10"/>
      <w:pgSz w:w="12240" w:h="15840"/>
      <w:pgMar w:top="864" w:right="936" w:bottom="936"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66862"/>
        <w:sz w:val="14"/>
      </w:rPr>
      <w:t>Allenby Legal Pty Ltd | 0493 118 980 | enquiries@allenbylegal.com.au | www.allenbylegal.com.au</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Georgia" w:hAnsi="Georgia"/>
        <w:color w:val="111315"/>
        <w:sz w:val="26"/>
      </w:rPr>
      <w:t xml:space="preserve">Allenby </w:t>
    </w:r>
    <w:r>
      <w:rPr>
        <w:rFonts w:ascii="Georgia" w:hAnsi="Georgia"/>
        <w:color w:val="C9A548"/>
        <w:sz w:val="26"/>
      </w:rPr>
      <w:t>Legal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color w:val="24272A"/>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ectionHeading">
    <w:name w:val="SectionHeading"/>
    <w:pPr>
      <w:spacing w:after="100"/>
    </w:pPr>
    <w:rPr>
      <w:rFonts w:ascii="Georgia" w:hAnsi="Georgia"/>
      <w:b w:val="0"/>
      <w:color w:val="111315"/>
      <w:sz w:val="32"/>
    </w:rPr>
  </w:style>
  <w:style w:type="paragraph" w:customStyle="1" w:styleId="Subheading">
    <w:name w:val="Subheading"/>
    <w:pPr>
      <w:spacing w:after="100"/>
    </w:pPr>
    <w:rPr>
      <w:rFonts w:ascii="Arial" w:hAnsi="Arial"/>
      <w:b/>
      <w:color w:val="111315"/>
      <w:sz w:val="22"/>
    </w:rPr>
  </w:style>
  <w:style w:type="paragraph" w:customStyle="1" w:styleId="Question">
    <w:name w:val="Question"/>
    <w:pPr>
      <w:spacing w:after="100"/>
    </w:pPr>
    <w:rPr>
      <w:rFonts w:ascii="Arial" w:hAnsi="Arial"/>
      <w:b w:val="0"/>
      <w:color w:val="24272A"/>
      <w:sz w:val="18"/>
    </w:rPr>
  </w:style>
  <w:style w:type="paragraph" w:customStyle="1" w:styleId="Response">
    <w:name w:val="Response"/>
    <w:pPr>
      <w:spacing w:after="100"/>
    </w:pPr>
    <w:rPr>
      <w:rFonts w:ascii="Arial" w:hAnsi="Arial"/>
      <w:b w:val="0"/>
      <w:color w:val="666862"/>
      <w:sz w:val="16"/>
    </w:rPr>
  </w:style>
  <w:style w:type="paragraph" w:customStyle="1" w:styleId="BodyText">
    <w:name w:val="BodyText"/>
    <w:pPr>
      <w:spacing w:after="100"/>
    </w:pPr>
    <w:rPr>
      <w:rFonts w:ascii="Arial" w:hAnsi="Arial"/>
      <w:b w:val="0"/>
      <w:color w:val="24272A"/>
      <w:sz w:val="18"/>
    </w:rPr>
  </w:style>
  <w:style w:type="paragraph" w:customStyle="1" w:styleId="IntroHeading">
    <w:name w:val="IntroHeading"/>
    <w:basedOn w:val="Normal"/>
    <w:pPr>
      <w:spacing w:before="140" w:after="80"/>
    </w:pPr>
    <w:rPr>
      <w:rFonts w:ascii="Arial" w:hAnsi="Arial"/>
      <w:b/>
      <w:color w:val="8F6E1E"/>
      <w:sz w:val="21"/>
    </w:rPr>
  </w:style>
  <w:style w:type="paragraph" w:customStyle="1" w:styleId="IntroBody">
    <w:name w:val="IntroBody"/>
    <w:basedOn w:val="Normal"/>
    <w:pPr>
      <w:spacing w:after="100" w:line="259" w:lineRule="auto"/>
    </w:pPr>
    <w:rPr>
      <w:rFonts w:ascii="Arial" w:hAnsi="Arial"/>
      <w:sz w:val="18"/>
    </w:rPr>
  </w:style>
  <w:style w:type="paragraph" w:customStyle="1" w:styleId="IntroBullet">
    <w:name w:val="IntroBullet"/>
    <w:basedOn w:val="Normal"/>
    <w:pPr>
      <w:spacing w:after="50" w:line="250" w:lineRule="auto"/>
      <w:ind w:left="280" w:hanging="180"/>
    </w:pPr>
    <w:rPr>
      <w:rFonts w:ascii="Arial" w:hAnsi="Arial"/>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